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FC340" w14:textId="579B8ADA" w:rsidR="00945554" w:rsidRPr="00BE7BD0" w:rsidRDefault="00945554" w:rsidP="0094555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w:t>
      </w:r>
      <w:r w:rsidR="003E0DED">
        <w:rPr>
          <w:b/>
          <w:noProof/>
          <w:sz w:val="24"/>
        </w:rPr>
        <w:t>bis-e</w:t>
      </w:r>
      <w:r>
        <w:rPr>
          <w:b/>
          <w:noProof/>
          <w:sz w:val="24"/>
        </w:rPr>
        <w:t xml:space="preserve">                                                          </w:t>
      </w:r>
      <w:r w:rsidR="002374E4">
        <w:rPr>
          <w:b/>
          <w:noProof/>
          <w:sz w:val="24"/>
        </w:rPr>
        <w:t xml:space="preserve"> </w:t>
      </w:r>
      <w:r>
        <w:rPr>
          <w:b/>
          <w:noProof/>
          <w:sz w:val="24"/>
        </w:rPr>
        <w:t xml:space="preserve">   R1</w:t>
      </w:r>
      <w:r w:rsidRPr="00BE7BD0">
        <w:rPr>
          <w:b/>
          <w:noProof/>
          <w:sz w:val="24"/>
        </w:rPr>
        <w:t>-</w:t>
      </w:r>
      <w:r w:rsidR="002374E4" w:rsidRPr="002374E4">
        <w:rPr>
          <w:b/>
          <w:bCs/>
          <w:noProof/>
          <w:sz w:val="24"/>
          <w:lang w:val="en-US"/>
        </w:rPr>
        <w:t>2303472</w:t>
      </w:r>
      <w:r>
        <w:rPr>
          <w:b/>
          <w:i/>
          <w:noProof/>
          <w:sz w:val="28"/>
        </w:rPr>
        <w:tab/>
      </w:r>
    </w:p>
    <w:p w14:paraId="12D22E18" w14:textId="1825428E" w:rsidR="00945554" w:rsidRPr="009E56BE" w:rsidRDefault="003E0DED" w:rsidP="00945554">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e-Meeting</w:t>
      </w:r>
      <w:r w:rsidR="00945554" w:rsidRPr="009E56BE">
        <w:rPr>
          <w:rFonts w:ascii="Arial" w:eastAsia="MS Mincho" w:hAnsi="Arial" w:cs="Arial"/>
          <w:b/>
          <w:bCs/>
          <w:szCs w:val="22"/>
          <w:lang w:val="en-GB"/>
        </w:rPr>
        <w:t xml:space="preserve">, </w:t>
      </w:r>
      <w:r>
        <w:rPr>
          <w:rFonts w:ascii="Arial" w:eastAsia="MS Mincho" w:hAnsi="Arial" w:cs="Arial"/>
          <w:b/>
          <w:bCs/>
          <w:szCs w:val="22"/>
          <w:lang w:val="en-GB"/>
        </w:rPr>
        <w:t>April</w:t>
      </w:r>
      <w:r w:rsidR="00945554" w:rsidRPr="009E56BE">
        <w:rPr>
          <w:rFonts w:ascii="Arial" w:eastAsia="MS Mincho" w:hAnsi="Arial" w:cs="Arial"/>
          <w:b/>
          <w:bCs/>
          <w:szCs w:val="22"/>
          <w:lang w:val="en-GB"/>
        </w:rPr>
        <w:t xml:space="preserve"> </w:t>
      </w:r>
      <w:r>
        <w:rPr>
          <w:rFonts w:ascii="Arial" w:eastAsia="MS Mincho" w:hAnsi="Arial" w:cs="Arial"/>
          <w:b/>
          <w:bCs/>
          <w:szCs w:val="22"/>
          <w:lang w:val="en-GB"/>
        </w:rPr>
        <w:t>1</w:t>
      </w:r>
      <w:r w:rsidR="00945554" w:rsidRPr="009E56BE">
        <w:rPr>
          <w:rFonts w:ascii="Arial" w:eastAsia="MS Mincho" w:hAnsi="Arial" w:cs="Arial"/>
          <w:b/>
          <w:bCs/>
          <w:szCs w:val="22"/>
          <w:lang w:val="en-GB"/>
        </w:rPr>
        <w:t>7</w:t>
      </w:r>
      <w:r w:rsidR="00945554" w:rsidRPr="009E56BE">
        <w:rPr>
          <w:rFonts w:ascii="Arial" w:eastAsia="MS Mincho" w:hAnsi="Arial" w:cs="Arial"/>
          <w:b/>
          <w:bCs/>
          <w:szCs w:val="22"/>
          <w:vertAlign w:val="superscript"/>
          <w:lang w:val="en-GB"/>
        </w:rPr>
        <w:t>th</w:t>
      </w:r>
      <w:r w:rsidR="00945554" w:rsidRPr="009E56BE">
        <w:rPr>
          <w:rFonts w:ascii="Arial" w:eastAsia="MS Mincho" w:hAnsi="Arial" w:cs="Arial"/>
          <w:b/>
          <w:bCs/>
          <w:szCs w:val="22"/>
          <w:lang w:val="en-GB"/>
        </w:rPr>
        <w:t xml:space="preserve"> – </w:t>
      </w:r>
      <w:r>
        <w:rPr>
          <w:rFonts w:ascii="Arial" w:eastAsia="MS Mincho" w:hAnsi="Arial" w:cs="Arial"/>
          <w:b/>
          <w:bCs/>
          <w:szCs w:val="22"/>
          <w:lang w:val="en-GB"/>
        </w:rPr>
        <w:t>April</w:t>
      </w:r>
      <w:r w:rsidR="00945554" w:rsidRPr="009E56BE">
        <w:rPr>
          <w:rFonts w:ascii="Arial" w:eastAsia="MS Mincho" w:hAnsi="Arial" w:cs="Arial"/>
          <w:b/>
          <w:bCs/>
          <w:szCs w:val="22"/>
          <w:lang w:val="en-GB"/>
        </w:rPr>
        <w:t xml:space="preserve">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00945554"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51B26B8" w:rsidR="00945554" w:rsidRPr="00315C6E" w:rsidRDefault="00945554" w:rsidP="00945554">
      <w:pPr>
        <w:pStyle w:val="3GPPHeader"/>
        <w:rPr>
          <w:sz w:val="22"/>
          <w:szCs w:val="22"/>
        </w:rPr>
      </w:pPr>
      <w:r w:rsidRPr="00315C6E">
        <w:rPr>
          <w:sz w:val="22"/>
          <w:szCs w:val="22"/>
        </w:rPr>
        <w:t>Agenda Item:</w:t>
      </w:r>
      <w:r w:rsidRPr="00315C6E">
        <w:rPr>
          <w:sz w:val="22"/>
          <w:szCs w:val="22"/>
        </w:rPr>
        <w:tab/>
      </w:r>
      <w:r>
        <w:rPr>
          <w:sz w:val="22"/>
          <w:szCs w:val="22"/>
        </w:rPr>
        <w:t>9.1.4.1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9A6F73" w:rsidR="00B23EB7" w:rsidRDefault="00B23EB7" w:rsidP="00B23EB7">
      <w:pPr>
        <w:pStyle w:val="3GPPHeader"/>
        <w:rPr>
          <w:sz w:val="22"/>
          <w:szCs w:val="22"/>
        </w:rPr>
      </w:pPr>
      <w:r w:rsidRPr="00315C6E">
        <w:rPr>
          <w:sz w:val="22"/>
          <w:szCs w:val="22"/>
        </w:rPr>
        <w:t>Title:</w:t>
      </w:r>
      <w:r w:rsidRPr="00315C6E">
        <w:rPr>
          <w:sz w:val="22"/>
          <w:szCs w:val="22"/>
        </w:rPr>
        <w:tab/>
      </w:r>
      <w:r w:rsidR="00A30089">
        <w:rPr>
          <w:sz w:val="22"/>
          <w:szCs w:val="22"/>
        </w:rPr>
        <w:t xml:space="preserve">Views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3E3A24F0"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2E520C">
        <w:rPr>
          <w:sz w:val="20"/>
          <w:szCs w:val="20"/>
          <w:lang w:val="en-GB"/>
        </w:rPr>
        <w:t>RAN1 has made couple of agreements</w:t>
      </w:r>
      <w:r>
        <w:rPr>
          <w:sz w:val="20"/>
          <w:szCs w:val="20"/>
          <w:lang w:val="en-GB"/>
        </w:rPr>
        <w:t xml:space="preserve"> </w:t>
      </w:r>
      <w:r w:rsidR="003944FC">
        <w:rPr>
          <w:sz w:val="20"/>
          <w:szCs w:val="20"/>
          <w:lang w:val="en-GB"/>
        </w:rPr>
        <w:t xml:space="preserve">toward </w:t>
      </w:r>
      <w:r w:rsidR="002E520C">
        <w:rPr>
          <w:sz w:val="20"/>
          <w:szCs w:val="20"/>
          <w:lang w:val="en-GB"/>
        </w:rPr>
        <w:t xml:space="preserve">specifying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 multi-panel (STxMP)</w:t>
      </w:r>
      <w:r w:rsidR="00CF4C3A">
        <w:rPr>
          <w:sz w:val="20"/>
          <w:szCs w:val="20"/>
          <w:lang w:val="en-GB"/>
        </w:rPr>
        <w:t xml:space="preserve">. Most importantly, in RAN1#110 it was agreed under a working assumption that </w:t>
      </w:r>
      <w:r w:rsidR="00CF4C3A" w:rsidRPr="00CF4C3A">
        <w:rPr>
          <w:sz w:val="20"/>
          <w:szCs w:val="20"/>
          <w:lang w:val="en-GB"/>
        </w:rPr>
        <w:t>in Rel-18</w:t>
      </w:r>
      <w:r w:rsidR="00CF4C3A">
        <w:rPr>
          <w:sz w:val="20"/>
          <w:szCs w:val="20"/>
          <w:lang w:val="en-GB"/>
        </w:rPr>
        <w:t xml:space="preserve">, SDM scheme is supported for </w:t>
      </w:r>
      <w:r w:rsidR="00CF4C3A" w:rsidRPr="00CF4C3A">
        <w:rPr>
          <w:sz w:val="20"/>
          <w:szCs w:val="20"/>
          <w:lang w:val="en-GB"/>
        </w:rPr>
        <w:t xml:space="preserve">single-DCI based STxMP PUSCH transmission in mTRP </w:t>
      </w:r>
      <w:r w:rsidR="008563BD">
        <w:rPr>
          <w:sz w:val="20"/>
          <w:szCs w:val="20"/>
          <w:lang w:val="en-GB"/>
        </w:rPr>
        <w:t xml:space="preserve">based </w:t>
      </w:r>
      <w:r w:rsidR="00CF4C3A" w:rsidRPr="00CF4C3A">
        <w:rPr>
          <w:sz w:val="20"/>
          <w:szCs w:val="20"/>
          <w:lang w:val="en-GB"/>
        </w:rPr>
        <w:t>system</w:t>
      </w:r>
      <w:r>
        <w:rPr>
          <w:sz w:val="20"/>
          <w:szCs w:val="20"/>
          <w:lang w:val="en-GB"/>
        </w:rPr>
        <w:t xml:space="preserve">. </w:t>
      </w:r>
      <w:r w:rsidR="000C20D6">
        <w:rPr>
          <w:sz w:val="20"/>
          <w:szCs w:val="20"/>
          <w:lang w:val="en-GB"/>
        </w:rPr>
        <w:t>In RAN1#110b-e</w:t>
      </w:r>
      <w:r w:rsidR="00767A07">
        <w:rPr>
          <w:sz w:val="20"/>
          <w:szCs w:val="20"/>
          <w:lang w:val="en-GB"/>
        </w:rPr>
        <w:t xml:space="preserve">, </w:t>
      </w:r>
      <w:r w:rsidR="002E520C">
        <w:rPr>
          <w:sz w:val="20"/>
          <w:szCs w:val="20"/>
          <w:lang w:val="en-GB"/>
        </w:rPr>
        <w:t>RAN1#111</w:t>
      </w:r>
      <w:r w:rsidR="00767A07">
        <w:rPr>
          <w:sz w:val="20"/>
          <w:szCs w:val="20"/>
          <w:lang w:val="en-GB"/>
        </w:rPr>
        <w:t xml:space="preserve"> and RAN1#112</w:t>
      </w:r>
      <w:r w:rsidR="002E520C">
        <w:rPr>
          <w:sz w:val="20"/>
          <w:szCs w:val="20"/>
          <w:lang w:val="en-GB"/>
        </w:rPr>
        <w:t>,</w:t>
      </w:r>
      <w:r w:rsidR="000C20D6">
        <w:rPr>
          <w:sz w:val="20"/>
          <w:szCs w:val="20"/>
          <w:lang w:val="en-GB"/>
        </w:rPr>
        <w:t xml:space="preserve"> more details on SDM based STxMP was agreed like SRS resource set indication, layer indication and antenna port indication. </w:t>
      </w:r>
      <w:r w:rsidR="00D46443" w:rsidRPr="00500DE7">
        <w:rPr>
          <w:sz w:val="20"/>
          <w:szCs w:val="20"/>
        </w:rPr>
        <w:t xml:space="preserve">In this contribution, we provide our views on </w:t>
      </w:r>
      <w:r w:rsidR="000C20D6">
        <w:rPr>
          <w:sz w:val="20"/>
          <w:szCs w:val="20"/>
        </w:rPr>
        <w:t>remaining issues</w:t>
      </w:r>
      <w:r w:rsidR="007A41E3" w:rsidRPr="00500DE7">
        <w:rPr>
          <w:sz w:val="20"/>
          <w:szCs w:val="20"/>
        </w:rPr>
        <w:t xml:space="preserve">, </w:t>
      </w:r>
      <w:r w:rsidR="000C20D6">
        <w:rPr>
          <w:sz w:val="20"/>
          <w:szCs w:val="20"/>
        </w:rPr>
        <w:t xml:space="preserve">for both sDCI based and mDCI based,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36300299" w14:textId="075B6FA4" w:rsidR="007E4A87" w:rsidRPr="00115255" w:rsidRDefault="002E520C" w:rsidP="00115255">
      <w:pPr>
        <w:pStyle w:val="Heading1"/>
      </w:pPr>
      <w:r>
        <w:t xml:space="preserve">Single-DCI based </w:t>
      </w:r>
      <w:proofErr w:type="gramStart"/>
      <w:r>
        <w:t>STxMP</w:t>
      </w:r>
      <w:proofErr w:type="gramEnd"/>
    </w:p>
    <w:p w14:paraId="55441DCC" w14:textId="4E33F31B" w:rsidR="00FC6F05" w:rsidRDefault="00FC6F05" w:rsidP="00205FF8">
      <w:pPr>
        <w:pStyle w:val="Heading2"/>
      </w:pPr>
      <w:r>
        <w:t>Maximum number of layers for SDM scheme</w:t>
      </w:r>
    </w:p>
    <w:p w14:paraId="218B4DA7" w14:textId="625FB0AF" w:rsidR="00FC6F05" w:rsidRDefault="00FC6F05" w:rsidP="00FC6F05">
      <w:pPr>
        <w:pStyle w:val="0Maintext"/>
        <w:spacing w:after="120" w:afterAutospacing="0" w:line="240" w:lineRule="auto"/>
        <w:ind w:firstLine="0"/>
      </w:pPr>
      <w:r>
        <w:t>On</w:t>
      </w:r>
      <w:r w:rsidR="00405092">
        <w:t xml:space="preserve"> maximum number of layers for SDM</w:t>
      </w:r>
      <w:r>
        <w:t xml:space="preserve">, the following </w:t>
      </w:r>
      <w:r w:rsidR="00227066">
        <w:t xml:space="preserve">working assumption is agreed </w:t>
      </w:r>
      <w:r>
        <w:t>in RAN1#11</w:t>
      </w:r>
      <w:r w:rsidR="00227066">
        <w:t>2</w:t>
      </w:r>
      <w:r>
        <w:t>:</w:t>
      </w:r>
    </w:p>
    <w:p w14:paraId="629CACB3" w14:textId="5461DA41" w:rsidR="006E75ED" w:rsidRPr="006E75ED" w:rsidRDefault="006E75ED" w:rsidP="006E75ED">
      <w:pPr>
        <w:rPr>
          <w:b/>
          <w:bCs/>
          <w:sz w:val="20"/>
          <w:szCs w:val="20"/>
          <w:highlight w:val="darkYellow"/>
          <w:lang w:eastAsia="x-none"/>
        </w:rPr>
      </w:pPr>
      <w:r w:rsidRPr="006E75ED">
        <w:rPr>
          <w:b/>
          <w:bCs/>
          <w:sz w:val="20"/>
          <w:szCs w:val="20"/>
          <w:highlight w:val="darkYellow"/>
          <w:lang w:eastAsia="x-none"/>
        </w:rPr>
        <w:t>Working Assumption</w:t>
      </w:r>
    </w:p>
    <w:p w14:paraId="2F9A4D48" w14:textId="77777777" w:rsidR="006E75ED" w:rsidRPr="006E75ED" w:rsidRDefault="006E75ED" w:rsidP="006E75ED">
      <w:pPr>
        <w:rPr>
          <w:sz w:val="20"/>
          <w:szCs w:val="20"/>
          <w:lang w:val="en-CA"/>
        </w:rPr>
      </w:pPr>
      <w:r w:rsidRPr="006E75ED">
        <w:rPr>
          <w:sz w:val="20"/>
          <w:szCs w:val="20"/>
          <w:lang w:val="en-CA"/>
        </w:rPr>
        <w:t>For dynamic switching between STxMP SDM scheme and sTRP transmission, support the following:</w:t>
      </w:r>
    </w:p>
    <w:p w14:paraId="4D939F78" w14:textId="77777777" w:rsidR="006E75ED" w:rsidRPr="006E75ED" w:rsidRDefault="006E75ED" w:rsidP="006E75ED">
      <w:pPr>
        <w:pStyle w:val="ListParagraph"/>
        <w:numPr>
          <w:ilvl w:val="0"/>
          <w:numId w:val="40"/>
        </w:numPr>
        <w:ind w:leftChars="0"/>
        <w:jc w:val="both"/>
        <w:rPr>
          <w:szCs w:val="20"/>
          <w:lang w:val="en-CA" w:eastAsia="zh-CN"/>
        </w:rPr>
      </w:pPr>
      <w:r w:rsidRPr="006E75ED">
        <w:rPr>
          <w:szCs w:val="20"/>
          <w:lang w:val="en-CA" w:eastAsia="zh-CN"/>
        </w:rPr>
        <w:t>For sTRP transmission: The maximal number of layers of sTRP transmission is configured by the maxRank (or Lmax) as in current spec (i.e., Option 1)</w:t>
      </w:r>
    </w:p>
    <w:p w14:paraId="3359900B" w14:textId="77777777" w:rsidR="006E75ED" w:rsidRPr="006E75ED" w:rsidRDefault="006E75ED" w:rsidP="006E75ED">
      <w:pPr>
        <w:pStyle w:val="ListParagraph"/>
        <w:numPr>
          <w:ilvl w:val="0"/>
          <w:numId w:val="40"/>
        </w:numPr>
        <w:ind w:leftChars="0"/>
        <w:jc w:val="both"/>
        <w:rPr>
          <w:szCs w:val="20"/>
          <w:lang w:val="en-CA" w:eastAsia="zh-CN"/>
        </w:rPr>
      </w:pPr>
      <w:r w:rsidRPr="006E75ED">
        <w:rPr>
          <w:szCs w:val="20"/>
          <w:lang w:val="en-CA" w:eastAsia="zh-CN"/>
        </w:rPr>
        <w:t xml:space="preserve">For SDM scheme: </w:t>
      </w:r>
      <w:r w:rsidRPr="006E75ED">
        <w:rPr>
          <w:szCs w:val="20"/>
          <w:lang w:val="en-CA"/>
        </w:rPr>
        <w:t>configure one single maximal number of layers (separate from maxRank (or Lmax) for sTRP) that is applied to the first SRS resource set and the second SRS resource set, separately (i.e., Alt1)</w:t>
      </w:r>
    </w:p>
    <w:p w14:paraId="0DF7BA7C" w14:textId="77777777" w:rsidR="006E75ED" w:rsidRPr="006E75ED" w:rsidRDefault="006E75ED" w:rsidP="006E75ED">
      <w:pPr>
        <w:pStyle w:val="ListParagraph"/>
        <w:numPr>
          <w:ilvl w:val="0"/>
          <w:numId w:val="40"/>
        </w:numPr>
        <w:ind w:leftChars="0"/>
        <w:jc w:val="both"/>
        <w:rPr>
          <w:szCs w:val="20"/>
          <w:lang w:val="en-CA" w:eastAsia="zh-CN"/>
        </w:rPr>
      </w:pPr>
      <w:r w:rsidRPr="006E75ED">
        <w:rPr>
          <w:szCs w:val="20"/>
          <w:lang w:val="en-CA" w:eastAsia="zh-CN"/>
        </w:rPr>
        <w:t xml:space="preserve">FFS: Whether/How to enable that the total number of used PUSCH antenna ports for the SDM and sTRP is the same. </w:t>
      </w:r>
    </w:p>
    <w:p w14:paraId="73B9DB45" w14:textId="77777777" w:rsidR="006E75ED" w:rsidRPr="006E75ED" w:rsidRDefault="006E75ED" w:rsidP="006E75ED">
      <w:pPr>
        <w:pStyle w:val="ListParagraph"/>
        <w:numPr>
          <w:ilvl w:val="1"/>
          <w:numId w:val="40"/>
        </w:numPr>
        <w:ind w:leftChars="0"/>
        <w:jc w:val="both"/>
        <w:rPr>
          <w:szCs w:val="20"/>
          <w:lang w:val="en-CA" w:eastAsia="zh-CN"/>
        </w:rPr>
      </w:pPr>
      <w:r w:rsidRPr="006E75ED">
        <w:rPr>
          <w:szCs w:val="20"/>
          <w:lang w:val="en-CA" w:eastAsia="zh-CN"/>
        </w:rPr>
        <w:t>Note: This corresponds to the case that digital ports are shared between the panels</w:t>
      </w:r>
    </w:p>
    <w:p w14:paraId="3C1DD70F" w14:textId="77777777" w:rsidR="006E75ED" w:rsidRPr="006E75ED" w:rsidRDefault="006E75ED" w:rsidP="006E75ED">
      <w:pPr>
        <w:pStyle w:val="ListParagraph"/>
        <w:numPr>
          <w:ilvl w:val="1"/>
          <w:numId w:val="40"/>
        </w:numPr>
        <w:ind w:leftChars="0"/>
        <w:jc w:val="both"/>
        <w:rPr>
          <w:szCs w:val="20"/>
          <w:lang w:val="en-CA" w:eastAsia="zh-CN"/>
        </w:rPr>
      </w:pPr>
      <w:r w:rsidRPr="006E75ED">
        <w:rPr>
          <w:szCs w:val="20"/>
          <w:lang w:val="en-CA" w:eastAsia="zh-CN"/>
        </w:rPr>
        <w:t>Note: RAN1 supports both implementations that digital ports are shared or separate among panels</w:t>
      </w:r>
    </w:p>
    <w:p w14:paraId="577F50C9" w14:textId="77777777" w:rsidR="00DB3208" w:rsidRDefault="00DB3208" w:rsidP="00064897">
      <w:pPr>
        <w:pStyle w:val="0Maintext"/>
        <w:spacing w:after="120" w:afterAutospacing="0" w:line="240" w:lineRule="auto"/>
        <w:ind w:firstLine="0"/>
        <w:rPr>
          <w:lang w:val="en-US"/>
        </w:rPr>
      </w:pPr>
    </w:p>
    <w:p w14:paraId="48A77A2B" w14:textId="094B81A4" w:rsidR="00FC5E2F" w:rsidRDefault="00FC5E2F" w:rsidP="00064897">
      <w:pPr>
        <w:pStyle w:val="0Maintext"/>
        <w:spacing w:after="120" w:afterAutospacing="0" w:line="240" w:lineRule="auto"/>
        <w:ind w:firstLine="0"/>
        <w:rPr>
          <w:lang w:val="en-US"/>
        </w:rPr>
      </w:pPr>
      <w:r>
        <w:rPr>
          <w:lang w:val="en-US"/>
        </w:rPr>
        <w:t>RAN1 ha</w:t>
      </w:r>
      <w:r w:rsidR="0047012E">
        <w:rPr>
          <w:lang w:val="en-US"/>
        </w:rPr>
        <w:t>d</w:t>
      </w:r>
      <w:r>
        <w:rPr>
          <w:lang w:val="en-US"/>
        </w:rPr>
        <w:t xml:space="preserve"> some discussion on whether/how to support SDM based STxMP transmission with dynamic indication to fallback to sTRP based transmission, for a limited capability UE</w:t>
      </w:r>
      <w:r w:rsidR="0047012E">
        <w:rPr>
          <w:lang w:val="en-US"/>
        </w:rPr>
        <w:t>, which</w:t>
      </w:r>
      <w:r>
        <w:rPr>
          <w:lang w:val="en-US"/>
        </w:rPr>
        <w:t xml:space="preserve"> is a UE </w:t>
      </w:r>
      <w:r w:rsidR="0047012E">
        <w:rPr>
          <w:lang w:val="en-US"/>
        </w:rPr>
        <w:t>that</w:t>
      </w:r>
      <w:r>
        <w:rPr>
          <w:lang w:val="en-US"/>
        </w:rPr>
        <w:t xml:space="preserve"> cannot </w:t>
      </w:r>
      <w:r w:rsidR="0047012E">
        <w:rPr>
          <w:lang w:val="en-US"/>
        </w:rPr>
        <w:t xml:space="preserve">always </w:t>
      </w:r>
      <w:r>
        <w:rPr>
          <w:lang w:val="en-US"/>
        </w:rPr>
        <w:t xml:space="preserve">maintain 2P digital ports for STxMP transmission, if P is number of ports for sTRP based transmission. In our view, given that WID is clear on </w:t>
      </w:r>
      <w:r w:rsidR="0047012E">
        <w:rPr>
          <w:lang w:val="en-US"/>
        </w:rPr>
        <w:t>target UEs for STxMP, i.e.  “</w:t>
      </w:r>
      <w:r w:rsidR="0047012E" w:rsidRPr="0047012E">
        <w:rPr>
          <w:bCs/>
          <w:i/>
          <w:iCs/>
          <w:lang w:val="en-US"/>
        </w:rPr>
        <w:t>CPE/FWA/vehicle/industrial devices (if applicable)</w:t>
      </w:r>
      <w:r w:rsidR="0047012E">
        <w:rPr>
          <w:bCs/>
          <w:lang w:val="en-US"/>
        </w:rPr>
        <w:t xml:space="preserve">”, RAN1 design shall not scarify promised throughput/reliability </w:t>
      </w:r>
      <w:r w:rsidR="004C3746">
        <w:rPr>
          <w:bCs/>
          <w:lang w:val="en-US"/>
        </w:rPr>
        <w:t xml:space="preserve">enhancement achievable </w:t>
      </w:r>
      <w:r w:rsidR="00DD41F4">
        <w:rPr>
          <w:bCs/>
          <w:lang w:val="en-US"/>
        </w:rPr>
        <w:t xml:space="preserve">through STxMP </w:t>
      </w:r>
      <w:r w:rsidR="0047012E">
        <w:rPr>
          <w:bCs/>
          <w:lang w:val="en-US"/>
        </w:rPr>
        <w:t xml:space="preserve">for </w:t>
      </w:r>
      <w:r w:rsidR="004C3746">
        <w:rPr>
          <w:bCs/>
          <w:lang w:val="en-US"/>
        </w:rPr>
        <w:t xml:space="preserve">target UEs </w:t>
      </w:r>
      <w:r w:rsidR="004C3746">
        <w:rPr>
          <w:lang w:val="en-US"/>
        </w:rPr>
        <w:t>just to have a solution workable for</w:t>
      </w:r>
      <w:r>
        <w:rPr>
          <w:lang w:val="en-US"/>
        </w:rPr>
        <w:t xml:space="preserve"> a limited capability UE</w:t>
      </w:r>
      <w:r w:rsidR="00DD41F4">
        <w:rPr>
          <w:lang w:val="en-US"/>
        </w:rPr>
        <w:t xml:space="preserve">, which is mainly a hand-held device. As an example, </w:t>
      </w:r>
      <w:r w:rsidR="004C3746">
        <w:rPr>
          <w:lang w:val="en-US"/>
        </w:rPr>
        <w:t>consider</w:t>
      </w:r>
      <w:r w:rsidR="00DD41F4">
        <w:rPr>
          <w:lang w:val="en-US"/>
        </w:rPr>
        <w:t xml:space="preserve"> a limited capability hand-held</w:t>
      </w:r>
      <w:r w:rsidR="007B2267">
        <w:rPr>
          <w:lang w:val="en-US"/>
        </w:rPr>
        <w:t xml:space="preserve"> UE</w:t>
      </w:r>
      <w:r w:rsidR="00DD41F4">
        <w:rPr>
          <w:lang w:val="en-US"/>
        </w:rPr>
        <w:t xml:space="preserve"> that has only 4 Tx chains, which shall be shared for UL transmissions, regardless of the transmission mode is mTRP based STxMP or sTRP based. For such a UE, STxMP is mapped to two antenna ports</w:t>
      </w:r>
      <w:r w:rsidR="007B2267">
        <w:rPr>
          <w:lang w:val="en-US"/>
        </w:rPr>
        <w:t xml:space="preserve"> per panel</w:t>
      </w:r>
      <w:r w:rsidR="00DD41F4">
        <w:rPr>
          <w:lang w:val="en-US"/>
        </w:rPr>
        <w:t xml:space="preserve">, that is TMPI associated to panel </w:t>
      </w:r>
      <m:oMath>
        <m:r>
          <w:rPr>
            <w:rFonts w:ascii="Cambria Math" w:hAnsi="Cambria Math"/>
            <w:lang w:val="en-US"/>
          </w:rPr>
          <m:t>k</m:t>
        </m:r>
      </m:oMath>
      <w:r w:rsidR="00DD41F4">
        <w:rPr>
          <w:lang w:val="en-US"/>
        </w:rPr>
        <w:t xml:space="preserve"> </w:t>
      </w:r>
      <w:r w:rsidR="007B2267">
        <w:rPr>
          <w:lang w:val="en-US"/>
        </w:rPr>
        <w:t>is a</w:t>
      </w:r>
      <w:r w:rsidR="00DD41F4">
        <w:rPr>
          <w:lang w:val="en-US"/>
        </w:rPr>
        <w:t xml:space="preserve">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007B2267">
        <w:rPr>
          <w:lang w:val="en-US"/>
        </w:rPr>
        <w:t xml:space="preserve"> matrix</w:t>
      </w:r>
      <w:r w:rsidR="00DD41F4">
        <w:rPr>
          <w:lang w:val="en-US"/>
        </w:rPr>
        <w:t xml:space="preserve">, where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00DD41F4">
        <w:rPr>
          <w:lang w:val="en-US"/>
        </w:rPr>
        <w:t xml:space="preserve"> is the indicated rank </w:t>
      </w:r>
      <w:r w:rsidR="007B2267">
        <w:rPr>
          <w:lang w:val="en-US"/>
        </w:rPr>
        <w:t xml:space="preserve">corresponding to </w:t>
      </w:r>
      <m:oMath>
        <m:r>
          <w:rPr>
            <w:rFonts w:ascii="Cambria Math" w:hAnsi="Cambria Math"/>
            <w:lang w:val="en-US"/>
          </w:rPr>
          <m:t>k</m:t>
        </m:r>
      </m:oMath>
      <w:r w:rsidR="007B2267">
        <w:rPr>
          <w:lang w:val="en-US"/>
        </w:rPr>
        <w:t>th</w:t>
      </w:r>
      <w:r w:rsidR="00DD41F4">
        <w:rPr>
          <w:lang w:val="en-US"/>
        </w:rPr>
        <w:t xml:space="preserve"> </w:t>
      </w:r>
      <w:r w:rsidR="007B2267">
        <w:rPr>
          <w:lang w:val="en-US"/>
        </w:rPr>
        <w:t>panel (</w:t>
      </w:r>
      <m:oMath>
        <m:r>
          <w:rPr>
            <w:rFonts w:ascii="Cambria Math" w:hAnsi="Cambria Math"/>
            <w:lang w:val="en-US"/>
          </w:rPr>
          <m:t>k=1,2)</m:t>
        </m:r>
      </m:oMath>
      <w:r w:rsidR="00DD41F4">
        <w:rPr>
          <w:lang w:val="en-US"/>
        </w:rPr>
        <w:t xml:space="preserve">. While for sTRP based transmission, UE can be indicated with a </w:t>
      </w:r>
      <m:oMath>
        <m:r>
          <w:rPr>
            <w:rFonts w:ascii="Cambria Math" w:hAnsi="Cambria Math"/>
            <w:lang w:val="en-US"/>
          </w:rPr>
          <m:t>4×L</m:t>
        </m:r>
      </m:oMath>
      <w:r w:rsidR="00DD41F4">
        <w:rPr>
          <w:lang w:val="en-US"/>
        </w:rPr>
        <w:t xml:space="preserve">  </w:t>
      </w:r>
      <w:r w:rsidR="00155F81">
        <w:rPr>
          <w:lang w:val="en-US"/>
        </w:rPr>
        <w:t xml:space="preserve">TPMI </w:t>
      </w:r>
      <w:r w:rsidR="007B2267">
        <w:rPr>
          <w:lang w:val="en-US"/>
        </w:rPr>
        <w:t xml:space="preserve">matrix, where </w:t>
      </w:r>
      <w:r w:rsidR="00DD41F4">
        <w:rPr>
          <w:lang w:val="en-US"/>
        </w:rPr>
        <w:t xml:space="preserve"> </w:t>
      </w:r>
      <m:oMath>
        <m:r>
          <w:rPr>
            <w:rFonts w:ascii="Cambria Math" w:hAnsi="Cambria Math"/>
            <w:lang w:val="en-US"/>
          </w:rPr>
          <m:t>L</m:t>
        </m:r>
      </m:oMath>
      <w:r w:rsidR="007B2267">
        <w:rPr>
          <w:lang w:val="en-US"/>
        </w:rPr>
        <w:t xml:space="preserve"> is the indicated rank corresponding to sTRP based transmission. From R15, UE </w:t>
      </w:r>
      <w:proofErr w:type="gramStart"/>
      <w:r w:rsidR="00155F81">
        <w:rPr>
          <w:lang w:val="en-US"/>
        </w:rPr>
        <w:t>is able to</w:t>
      </w:r>
      <w:proofErr w:type="gramEnd"/>
      <w:r w:rsidR="00155F81">
        <w:rPr>
          <w:lang w:val="en-US"/>
        </w:rPr>
        <w:t xml:space="preserve"> sound different ports associated to different panels for sTRP based transmission, which of course whether or not sounding is per panel or across panels is transparent to the gNB</w:t>
      </w:r>
      <w:r w:rsidR="004C3746">
        <w:rPr>
          <w:lang w:val="en-US"/>
        </w:rPr>
        <w:t xml:space="preserve"> and is up to UE implementation</w:t>
      </w:r>
      <w:r w:rsidR="00155F81">
        <w:rPr>
          <w:lang w:val="en-US"/>
        </w:rPr>
        <w:t xml:space="preserve">.  Having said that, multi-panel transmission for such a limited capability UE is doable since R15, without any further specification needed. Additionally, in theory the performance of a CB transmission over a </w:t>
      </w:r>
      <m:oMath>
        <m:r>
          <w:rPr>
            <w:rFonts w:ascii="Cambria Math" w:hAnsi="Cambria Math"/>
            <w:lang w:val="en-US"/>
          </w:rPr>
          <m:t>4×L</m:t>
        </m:r>
      </m:oMath>
      <w:r w:rsidR="00155F81">
        <w:rPr>
          <w:lang w:val="en-US"/>
        </w:rPr>
        <w:t xml:space="preserve">  TPMI matrix </w:t>
      </w:r>
      <w:r w:rsidR="00155F81">
        <w:rPr>
          <w:lang w:val="en-US"/>
        </w:rPr>
        <w:lastRenderedPageBreak/>
        <w:t xml:space="preserve">cannot be worse than two CB based transmissions with two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00155F81">
        <w:rPr>
          <w:lang w:val="en-US"/>
        </w:rPr>
        <w:t xml:space="preserve"> matrices (at worst, single </w:t>
      </w:r>
      <m:oMath>
        <m:r>
          <w:rPr>
            <w:rFonts w:ascii="Cambria Math" w:hAnsi="Cambria Math"/>
            <w:lang w:val="en-US"/>
          </w:rPr>
          <m:t>4×L</m:t>
        </m:r>
      </m:oMath>
      <w:r w:rsidR="00155F81">
        <w:rPr>
          <w:lang w:val="en-US"/>
        </w:rPr>
        <w:t xml:space="preserve">  TPMI will be consisted of two block </w:t>
      </w:r>
      <w:r w:rsidR="008D57B6">
        <w:rPr>
          <w:lang w:val="en-US"/>
        </w:rPr>
        <w:t xml:space="preserve">diagonal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00155F81">
        <w:rPr>
          <w:lang w:val="en-US"/>
        </w:rPr>
        <w:t xml:space="preserve"> matrices and non-block diagonal elements set to 0).</w:t>
      </w:r>
    </w:p>
    <w:p w14:paraId="6681DC39" w14:textId="0D9CBE2A" w:rsidR="00064897" w:rsidRDefault="00064897" w:rsidP="00064897">
      <w:pPr>
        <w:pStyle w:val="0Maintext"/>
        <w:spacing w:after="120" w:afterAutospacing="0" w:line="240" w:lineRule="auto"/>
        <w:ind w:firstLine="0"/>
        <w:rPr>
          <w:lang w:val="en-US"/>
        </w:rPr>
      </w:pPr>
      <w:r>
        <w:rPr>
          <w:lang w:val="en-US"/>
        </w:rPr>
        <w:t>Based on the above discussion, we have the following proposal</w:t>
      </w:r>
      <w:r w:rsidR="00155F81">
        <w:rPr>
          <w:lang w:val="en-US"/>
        </w:rPr>
        <w:t>s</w:t>
      </w:r>
      <w:r>
        <w:rPr>
          <w:lang w:val="en-US"/>
        </w:rPr>
        <w:t>:</w:t>
      </w:r>
    </w:p>
    <w:p w14:paraId="3A022DB3" w14:textId="57A7E94C" w:rsidR="00FC6F05" w:rsidRPr="00767A07" w:rsidRDefault="00064897" w:rsidP="00767A07">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DA1BAF">
        <w:rPr>
          <w:b/>
          <w:bCs/>
          <w:i/>
          <w:iCs/>
        </w:rPr>
        <w:t xml:space="preserve">: </w:t>
      </w:r>
      <w:r w:rsidR="00155F81">
        <w:rPr>
          <w:b/>
          <w:bCs/>
          <w:i/>
          <w:iCs/>
        </w:rPr>
        <w:t xml:space="preserve">Do not support </w:t>
      </w:r>
      <w:r w:rsidR="00155F81" w:rsidRPr="00155F81">
        <w:rPr>
          <w:b/>
          <w:bCs/>
          <w:i/>
          <w:iCs/>
          <w:lang w:val="en-CA"/>
        </w:rPr>
        <w:t xml:space="preserve">the </w:t>
      </w:r>
      <w:r w:rsidR="00155F81">
        <w:rPr>
          <w:b/>
          <w:bCs/>
          <w:i/>
          <w:iCs/>
          <w:lang w:val="en-CA"/>
        </w:rPr>
        <w:t xml:space="preserve">limitation to keep </w:t>
      </w:r>
      <w:r w:rsidR="00155F81" w:rsidRPr="00155F81">
        <w:rPr>
          <w:b/>
          <w:bCs/>
          <w:i/>
          <w:iCs/>
          <w:lang w:val="en-CA"/>
        </w:rPr>
        <w:t>total number of used PUSCH antenna ports for the SDM and sTRP</w:t>
      </w:r>
      <w:r w:rsidR="00155F81">
        <w:rPr>
          <w:b/>
          <w:bCs/>
          <w:i/>
          <w:iCs/>
          <w:lang w:val="en-CA"/>
        </w:rPr>
        <w:t xml:space="preserve"> to be the same.</w:t>
      </w:r>
    </w:p>
    <w:p w14:paraId="18DCC783" w14:textId="77777777" w:rsidR="00687A78" w:rsidRPr="00687A78" w:rsidRDefault="00687A78" w:rsidP="00687A78"/>
    <w:p w14:paraId="518A9C80" w14:textId="74E378CE" w:rsidR="005E03D3" w:rsidRDefault="005E03D3" w:rsidP="00205FF8">
      <w:pPr>
        <w:pStyle w:val="Heading2"/>
      </w:pPr>
      <w:r>
        <w:t>PTRS</w:t>
      </w:r>
      <w:r w:rsidR="00FF0BB3">
        <w:t xml:space="preserve"> to DMRS</w:t>
      </w:r>
      <w:r>
        <w:t xml:space="preserve"> </w:t>
      </w:r>
      <w:r w:rsidR="00FF0BB3">
        <w:t>mapping</w:t>
      </w:r>
    </w:p>
    <w:p w14:paraId="716E9041" w14:textId="04631F71" w:rsidR="00FF0BB3" w:rsidRDefault="00FF0BB3" w:rsidP="00FF0BB3">
      <w:pPr>
        <w:jc w:val="both"/>
        <w:rPr>
          <w:rFonts w:cs="Batang"/>
          <w:sz w:val="20"/>
          <w:szCs w:val="20"/>
        </w:rPr>
      </w:pPr>
      <w:r w:rsidRPr="00FF0BB3">
        <w:rPr>
          <w:rFonts w:cs="Batang"/>
          <w:sz w:val="20"/>
          <w:szCs w:val="20"/>
        </w:rPr>
        <w:t>In current specification</w:t>
      </w:r>
      <w:r>
        <w:rPr>
          <w:rFonts w:cs="Batang"/>
          <w:sz w:val="20"/>
          <w:szCs w:val="20"/>
        </w:rPr>
        <w:t xml:space="preserve">, </w:t>
      </w:r>
      <w:r w:rsidRPr="00FF0BB3">
        <w:rPr>
          <w:rFonts w:cs="Batang"/>
          <w:sz w:val="20"/>
          <w:szCs w:val="20"/>
        </w:rPr>
        <w:t xml:space="preserve">DCI has 0 bits for PTRS to DMRS association if </w:t>
      </w:r>
      <w:r w:rsidRPr="00FF0BB3">
        <w:rPr>
          <w:rFonts w:cs="Batang"/>
          <w:i/>
          <w:iCs/>
          <w:sz w:val="20"/>
          <w:szCs w:val="20"/>
        </w:rPr>
        <w:t>PTRS-UplinkConfig</w:t>
      </w:r>
      <w:r w:rsidRPr="00FF0BB3">
        <w:rPr>
          <w:rFonts w:cs="Batang"/>
          <w:sz w:val="20"/>
          <w:szCs w:val="20"/>
        </w:rPr>
        <w:t xml:space="preserve"> is not configured in either </w:t>
      </w:r>
      <w:r w:rsidRPr="00FF0BB3">
        <w:rPr>
          <w:rFonts w:cs="Batang"/>
          <w:i/>
          <w:iCs/>
          <w:sz w:val="20"/>
          <w:szCs w:val="20"/>
        </w:rPr>
        <w:t>dmrs-UplinkForPUSCH-MappingTypeA</w:t>
      </w:r>
      <w:r w:rsidRPr="00FF0BB3">
        <w:rPr>
          <w:rFonts w:cs="Batang"/>
          <w:sz w:val="20"/>
          <w:szCs w:val="20"/>
        </w:rPr>
        <w:t xml:space="preserve"> or </w:t>
      </w:r>
      <w:r w:rsidRPr="00FF0BB3">
        <w:rPr>
          <w:rFonts w:cs="Batang"/>
          <w:i/>
          <w:iCs/>
          <w:sz w:val="20"/>
          <w:szCs w:val="20"/>
        </w:rPr>
        <w:t>dmrs-UplinkForPUSCH-MappingTypeB</w:t>
      </w:r>
      <w:r w:rsidRPr="00FF0BB3">
        <w:rPr>
          <w:rFonts w:cs="Batang"/>
          <w:sz w:val="20"/>
          <w:szCs w:val="20"/>
        </w:rPr>
        <w:t xml:space="preserve"> and transform precoder is disabled, or if transform precoder is enabled, or</w:t>
      </w:r>
      <w:r>
        <w:rPr>
          <w:rFonts w:cs="Batang"/>
          <w:sz w:val="20"/>
          <w:szCs w:val="20"/>
        </w:rPr>
        <w:t xml:space="preserve"> </w:t>
      </w:r>
      <w:r w:rsidRPr="00FF0BB3">
        <w:rPr>
          <w:rFonts w:cs="Batang"/>
          <w:sz w:val="20"/>
          <w:szCs w:val="20"/>
        </w:rPr>
        <w:t>if maxRank=1</w:t>
      </w:r>
      <w:r>
        <w:rPr>
          <w:rFonts w:cs="Batang"/>
          <w:sz w:val="20"/>
          <w:szCs w:val="20"/>
        </w:rPr>
        <w:t>; o</w:t>
      </w:r>
      <w:r w:rsidRPr="00FF0BB3">
        <w:rPr>
          <w:rFonts w:cs="Batang"/>
          <w:sz w:val="20"/>
          <w:szCs w:val="20"/>
        </w:rPr>
        <w:t>therwise, DCI uses 2 bits for this indication</w:t>
      </w:r>
      <w:r>
        <w:rPr>
          <w:rFonts w:cs="Batang"/>
          <w:sz w:val="20"/>
          <w:szCs w:val="20"/>
        </w:rPr>
        <w:t xml:space="preserve">, using </w:t>
      </w:r>
      <w:r w:rsidRPr="00FF0BB3">
        <w:rPr>
          <w:rFonts w:cs="Batang"/>
          <w:sz w:val="20"/>
          <w:szCs w:val="20"/>
        </w:rPr>
        <w:t>three tables defined in 38.212</w:t>
      </w:r>
      <w:r>
        <w:rPr>
          <w:rFonts w:cs="Batang"/>
          <w:sz w:val="20"/>
          <w:szCs w:val="20"/>
        </w:rPr>
        <w:t xml:space="preserve">, where </w:t>
      </w:r>
      <w:r w:rsidRPr="00FF0BB3">
        <w:rPr>
          <w:rFonts w:cs="Batang"/>
          <w:sz w:val="20"/>
          <w:szCs w:val="20"/>
        </w:rPr>
        <w:t xml:space="preserve">Table 7.3.1.1.2-25/7.3.1.1.2-25A and 7.3.1.1.2-26 are used to indicate the association between PTRS port(s) and DMRS port(s) when one PT-RS port and two PT-RS ports are configured by </w:t>
      </w:r>
      <w:r w:rsidRPr="00FF0BB3">
        <w:rPr>
          <w:rFonts w:cs="Batang"/>
          <w:i/>
          <w:iCs/>
          <w:sz w:val="20"/>
          <w:szCs w:val="20"/>
        </w:rPr>
        <w:t>maxNrofPorts</w:t>
      </w:r>
      <w:r w:rsidRPr="00FF0BB3">
        <w:rPr>
          <w:rFonts w:cs="Batang"/>
          <w:sz w:val="20"/>
          <w:szCs w:val="20"/>
        </w:rPr>
        <w:t xml:space="preserve"> in </w:t>
      </w:r>
      <w:r w:rsidRPr="00FF0BB3">
        <w:rPr>
          <w:rFonts w:cs="Batang"/>
          <w:i/>
          <w:iCs/>
          <w:sz w:val="20"/>
          <w:szCs w:val="20"/>
        </w:rPr>
        <w:t>PTRS-UplinkConfig</w:t>
      </w:r>
      <w:r w:rsidRPr="00FF0BB3">
        <w:rPr>
          <w:rFonts w:cs="Batang"/>
          <w:sz w:val="20"/>
          <w:szCs w:val="20"/>
        </w:rPr>
        <w:t xml:space="preserve"> respectively</w:t>
      </w:r>
      <w:r>
        <w:rPr>
          <w:rFonts w:cs="Batang"/>
          <w:sz w:val="20"/>
          <w:szCs w:val="20"/>
        </w:rPr>
        <w:t>.</w:t>
      </w:r>
      <w:r w:rsidR="007E64E7">
        <w:rPr>
          <w:rFonts w:cs="Batang"/>
          <w:sz w:val="20"/>
          <w:szCs w:val="20"/>
        </w:rPr>
        <w:t xml:space="preserve"> In RAN1#112, the following agreement was achieved for PTRS to DMRS mapping when </w:t>
      </w:r>
      <w:r w:rsidR="00151930">
        <w:rPr>
          <w:rFonts w:cs="Batang"/>
          <w:sz w:val="20"/>
          <w:szCs w:val="20"/>
        </w:rPr>
        <w:t xml:space="preserve">max </w:t>
      </w:r>
      <w:r w:rsidR="007E64E7">
        <w:rPr>
          <w:rFonts w:cs="Batang"/>
          <w:sz w:val="20"/>
          <w:szCs w:val="20"/>
        </w:rPr>
        <w:t xml:space="preserve">two PTRS ports are </w:t>
      </w:r>
      <w:r w:rsidR="00D2248F">
        <w:rPr>
          <w:rFonts w:cs="Batang"/>
          <w:sz w:val="20"/>
          <w:szCs w:val="20"/>
        </w:rPr>
        <w:t>configured:</w:t>
      </w:r>
    </w:p>
    <w:p w14:paraId="2E7D0919" w14:textId="77777777" w:rsidR="00D2248F" w:rsidRDefault="00D2248F" w:rsidP="00FF0BB3">
      <w:pPr>
        <w:jc w:val="both"/>
        <w:rPr>
          <w:rFonts w:cs="Batang"/>
          <w:sz w:val="20"/>
          <w:szCs w:val="20"/>
        </w:rPr>
      </w:pPr>
    </w:p>
    <w:p w14:paraId="07A04FDB" w14:textId="03F4CD77" w:rsidR="007E64E7" w:rsidRPr="007E64E7" w:rsidRDefault="007E64E7" w:rsidP="007E64E7">
      <w:pPr>
        <w:rPr>
          <w:b/>
          <w:bCs/>
          <w:sz w:val="20"/>
          <w:szCs w:val="20"/>
          <w:highlight w:val="green"/>
          <w:lang w:val="en-CA"/>
        </w:rPr>
      </w:pPr>
      <w:r w:rsidRPr="007E64E7">
        <w:rPr>
          <w:b/>
          <w:bCs/>
          <w:sz w:val="20"/>
          <w:szCs w:val="20"/>
          <w:highlight w:val="green"/>
          <w:lang w:val="en-CA"/>
        </w:rPr>
        <w:t>Agreement</w:t>
      </w:r>
    </w:p>
    <w:p w14:paraId="2C2441EE" w14:textId="77777777" w:rsidR="007E64E7" w:rsidRPr="007E64E7" w:rsidRDefault="007E64E7" w:rsidP="007E64E7">
      <w:pPr>
        <w:rPr>
          <w:rFonts w:cs="Times"/>
          <w:sz w:val="20"/>
          <w:szCs w:val="20"/>
        </w:rPr>
      </w:pPr>
      <w:r w:rsidRPr="007E64E7">
        <w:rPr>
          <w:rFonts w:cs="Times"/>
          <w:sz w:val="20"/>
          <w:szCs w:val="20"/>
        </w:rPr>
        <w:t>When max 2 PTRS ports are configured for SDM scheme of single-DCI based STxMP PUSCH:</w:t>
      </w:r>
    </w:p>
    <w:p w14:paraId="060208DE" w14:textId="77777777" w:rsidR="007E64E7" w:rsidRPr="007E64E7" w:rsidRDefault="007E64E7" w:rsidP="007E64E7">
      <w:pPr>
        <w:pStyle w:val="ListParagraph"/>
        <w:numPr>
          <w:ilvl w:val="0"/>
          <w:numId w:val="29"/>
        </w:numPr>
        <w:ind w:leftChars="0"/>
        <w:contextualSpacing/>
        <w:rPr>
          <w:rFonts w:cs="Times"/>
          <w:szCs w:val="20"/>
        </w:rPr>
      </w:pPr>
      <w:r w:rsidRPr="007E64E7">
        <w:rPr>
          <w:rFonts w:cs="Times"/>
          <w:szCs w:val="20"/>
        </w:rPr>
        <w:t xml:space="preserve">Actual number of PTRS ports in SDM is 2 and 2-bit </w:t>
      </w:r>
      <w:r w:rsidRPr="007E64E7">
        <w:rPr>
          <w:rFonts w:cs="Times" w:hint="eastAsia"/>
          <w:szCs w:val="20"/>
        </w:rPr>
        <w:t>“</w:t>
      </w:r>
      <w:r w:rsidRPr="007E64E7">
        <w:rPr>
          <w:rFonts w:cs="Times"/>
          <w:szCs w:val="20"/>
        </w:rPr>
        <w:t>PTRS-DMRS association</w:t>
      </w:r>
      <w:r w:rsidRPr="007E64E7">
        <w:rPr>
          <w:rFonts w:cs="Times" w:hint="eastAsia"/>
          <w:szCs w:val="20"/>
        </w:rPr>
        <w:t>”</w:t>
      </w:r>
      <w:r w:rsidRPr="007E64E7">
        <w:rPr>
          <w:rFonts w:cs="Times"/>
          <w:szCs w:val="20"/>
        </w:rPr>
        <w:t xml:space="preserve"> DCI field is used to indicate the PTRS-DMRS association for the DMRS ports associated with two TMPI/SRI fields.</w:t>
      </w:r>
    </w:p>
    <w:p w14:paraId="171AE6D5" w14:textId="77777777" w:rsidR="007E64E7" w:rsidRPr="007E64E7" w:rsidRDefault="007E64E7" w:rsidP="007E64E7">
      <w:pPr>
        <w:pStyle w:val="ListParagraph"/>
        <w:numPr>
          <w:ilvl w:val="1"/>
          <w:numId w:val="29"/>
        </w:numPr>
        <w:ind w:leftChars="0"/>
        <w:contextualSpacing/>
        <w:rPr>
          <w:rFonts w:cs="Times"/>
          <w:szCs w:val="20"/>
        </w:rPr>
      </w:pPr>
      <w:r w:rsidRPr="007E64E7">
        <w:rPr>
          <w:rFonts w:cs="Times"/>
          <w:szCs w:val="20"/>
        </w:rPr>
        <w:t>The MSB indicates the association between PTRS port 0 and the DMRS port(s) associated with the first TPMI/SRI field.</w:t>
      </w:r>
    </w:p>
    <w:p w14:paraId="7E1641B8" w14:textId="77777777" w:rsidR="007E64E7" w:rsidRPr="007E64E7" w:rsidRDefault="007E64E7" w:rsidP="007E64E7">
      <w:pPr>
        <w:pStyle w:val="ListParagraph"/>
        <w:numPr>
          <w:ilvl w:val="1"/>
          <w:numId w:val="29"/>
        </w:numPr>
        <w:ind w:leftChars="0"/>
        <w:contextualSpacing/>
        <w:rPr>
          <w:rFonts w:cs="Times"/>
          <w:szCs w:val="20"/>
        </w:rPr>
      </w:pPr>
      <w:r w:rsidRPr="007E64E7">
        <w:rPr>
          <w:rFonts w:cs="Times"/>
          <w:szCs w:val="20"/>
        </w:rPr>
        <w:t xml:space="preserve">The LSB indicates the association between PTRS port 1 and the DMRS port(s) associated with the second TPMI/SRI field. </w:t>
      </w:r>
    </w:p>
    <w:p w14:paraId="36E42B37" w14:textId="77777777" w:rsidR="007E64E7" w:rsidRPr="007E64E7" w:rsidRDefault="007E64E7" w:rsidP="007E64E7">
      <w:pPr>
        <w:pStyle w:val="ListParagraph"/>
        <w:numPr>
          <w:ilvl w:val="0"/>
          <w:numId w:val="29"/>
        </w:numPr>
        <w:ind w:leftChars="0"/>
        <w:contextualSpacing/>
        <w:rPr>
          <w:rFonts w:cs="Times"/>
          <w:szCs w:val="20"/>
        </w:rPr>
      </w:pPr>
      <w:r w:rsidRPr="007E64E7">
        <w:rPr>
          <w:rFonts w:cs="Times"/>
          <w:szCs w:val="20"/>
          <w:lang w:val="en-CA" w:eastAsia="zh-CN"/>
        </w:rPr>
        <w:t>Regarding the “</w:t>
      </w:r>
      <w:r w:rsidRPr="007E64E7">
        <w:rPr>
          <w:i/>
          <w:iCs/>
          <w:szCs w:val="20"/>
          <w:lang w:val="en-CA"/>
        </w:rPr>
        <w:t>ptrs-PortIndex</w:t>
      </w:r>
      <w:r w:rsidRPr="007E64E7">
        <w:rPr>
          <w:rFonts w:cs="Times"/>
          <w:szCs w:val="20"/>
          <w:lang w:val="en-CA" w:eastAsia="zh-CN"/>
        </w:rPr>
        <w:t>” configured to SRS resource for NCB PUSCH of SDM scheme, the UE ignores the configuration of “</w:t>
      </w:r>
      <w:r w:rsidRPr="007E64E7">
        <w:rPr>
          <w:i/>
          <w:iCs/>
          <w:szCs w:val="20"/>
          <w:lang w:val="en-CA"/>
        </w:rPr>
        <w:t>ptrs-PortIndex</w:t>
      </w:r>
      <w:r w:rsidRPr="007E64E7">
        <w:rPr>
          <w:rFonts w:cs="Times"/>
          <w:szCs w:val="20"/>
          <w:lang w:val="en-CA" w:eastAsia="zh-CN"/>
        </w:rPr>
        <w:t>” per SRS resource.</w:t>
      </w:r>
    </w:p>
    <w:p w14:paraId="6A5AA67C" w14:textId="77777777" w:rsidR="007E64E7" w:rsidRPr="006262DF" w:rsidRDefault="007E64E7" w:rsidP="006262DF">
      <w:pPr>
        <w:tabs>
          <w:tab w:val="left" w:pos="720"/>
        </w:tabs>
        <w:contextualSpacing/>
        <w:jc w:val="both"/>
        <w:rPr>
          <w:rFonts w:cs="Times"/>
          <w:sz w:val="20"/>
          <w:szCs w:val="20"/>
          <w:lang w:val="en-CA"/>
        </w:rPr>
      </w:pPr>
      <w:r w:rsidRPr="006262DF">
        <w:rPr>
          <w:rFonts w:cs="Times"/>
          <w:sz w:val="20"/>
          <w:szCs w:val="20"/>
          <w:lang w:val="en-CA"/>
        </w:rPr>
        <w:t xml:space="preserve">FFS: Whether additional RRC configuration is needed for the max number of PTRS ports for SDM </w:t>
      </w:r>
      <w:r w:rsidRPr="006262DF">
        <w:rPr>
          <w:rFonts w:cs="Times"/>
          <w:sz w:val="20"/>
          <w:szCs w:val="20"/>
        </w:rPr>
        <w:t>transmission</w:t>
      </w:r>
    </w:p>
    <w:p w14:paraId="021F58DA" w14:textId="77777777" w:rsidR="007E64E7" w:rsidRDefault="007E64E7" w:rsidP="00FF0BB3">
      <w:pPr>
        <w:jc w:val="both"/>
        <w:rPr>
          <w:rFonts w:cs="Batang"/>
          <w:sz w:val="20"/>
          <w:szCs w:val="20"/>
        </w:rPr>
      </w:pPr>
    </w:p>
    <w:p w14:paraId="6362BDB7" w14:textId="08CCA9F1" w:rsidR="00151930" w:rsidRDefault="00151930" w:rsidP="00FF0BB3">
      <w:pPr>
        <w:jc w:val="both"/>
        <w:rPr>
          <w:rFonts w:cs="Batang"/>
          <w:sz w:val="20"/>
          <w:szCs w:val="20"/>
        </w:rPr>
      </w:pPr>
      <w:r>
        <w:rPr>
          <w:rFonts w:cs="Batang"/>
          <w:sz w:val="20"/>
          <w:szCs w:val="20"/>
        </w:rPr>
        <w:t xml:space="preserve">In the above agreement, there is </w:t>
      </w:r>
      <w:r w:rsidR="00010C03">
        <w:rPr>
          <w:rFonts w:cs="Batang"/>
          <w:sz w:val="20"/>
          <w:szCs w:val="20"/>
        </w:rPr>
        <w:t>an</w:t>
      </w:r>
      <w:r>
        <w:rPr>
          <w:rFonts w:cs="Batang"/>
          <w:sz w:val="20"/>
          <w:szCs w:val="20"/>
        </w:rPr>
        <w:t xml:space="preserve"> FFS left on </w:t>
      </w:r>
      <w:r w:rsidR="00D2248F">
        <w:rPr>
          <w:rFonts w:cs="Batang"/>
          <w:sz w:val="20"/>
          <w:szCs w:val="20"/>
        </w:rPr>
        <w:t>whether</w:t>
      </w:r>
      <w:r>
        <w:rPr>
          <w:rFonts w:cs="Batang"/>
          <w:sz w:val="20"/>
          <w:szCs w:val="20"/>
        </w:rPr>
        <w:t xml:space="preserve"> SDM based transmission needs a separate RRC configuration for the max number of PTRS ports (which is up to 2, based on RAN1 agreement in 110b-e). First, we should note that the above agreement </w:t>
      </w:r>
      <w:r w:rsidR="00010C03">
        <w:rPr>
          <w:rFonts w:cs="Batang"/>
          <w:sz w:val="20"/>
          <w:szCs w:val="20"/>
        </w:rPr>
        <w:t>not only indicates PTRS to DMRS mapping but also indicates</w:t>
      </w:r>
      <w:r>
        <w:rPr>
          <w:rFonts w:cs="Batang"/>
          <w:sz w:val="20"/>
          <w:szCs w:val="20"/>
        </w:rPr>
        <w:t xml:space="preserve"> </w:t>
      </w:r>
      <w:r w:rsidR="00010C03">
        <w:rPr>
          <w:rFonts w:cs="Batang"/>
          <w:sz w:val="20"/>
          <w:szCs w:val="20"/>
        </w:rPr>
        <w:t xml:space="preserve">the </w:t>
      </w:r>
      <w:r>
        <w:rPr>
          <w:rFonts w:cs="Batang"/>
          <w:sz w:val="20"/>
          <w:szCs w:val="20"/>
        </w:rPr>
        <w:t xml:space="preserve">PTRS to </w:t>
      </w:r>
      <w:r w:rsidR="00010C03">
        <w:rPr>
          <w:rFonts w:cs="Batang"/>
          <w:sz w:val="20"/>
          <w:szCs w:val="20"/>
        </w:rPr>
        <w:t xml:space="preserve">panel mapping, which the latter </w:t>
      </w:r>
      <w:r w:rsidR="00D2248F">
        <w:rPr>
          <w:rFonts w:cs="Batang"/>
          <w:sz w:val="20"/>
          <w:szCs w:val="20"/>
        </w:rPr>
        <w:t xml:space="preserve">only </w:t>
      </w:r>
      <w:r w:rsidR="00010C03">
        <w:rPr>
          <w:rFonts w:cs="Batang"/>
          <w:sz w:val="20"/>
          <w:szCs w:val="20"/>
        </w:rPr>
        <w:t xml:space="preserve">works when two PTRS ports are configured for SDM. </w:t>
      </w:r>
      <w:r>
        <w:rPr>
          <w:rFonts w:cs="Batang"/>
          <w:sz w:val="20"/>
          <w:szCs w:val="20"/>
        </w:rPr>
        <w:t xml:space="preserve"> </w:t>
      </w:r>
      <w:r w:rsidR="00010C03">
        <w:rPr>
          <w:rFonts w:cs="Batang"/>
          <w:sz w:val="20"/>
          <w:szCs w:val="20"/>
        </w:rPr>
        <w:t xml:space="preserve">When single PTRS port is configured, we need further specification on </w:t>
      </w:r>
      <w:r w:rsidR="00D2248F">
        <w:rPr>
          <w:rFonts w:cs="Batang"/>
          <w:sz w:val="20"/>
          <w:szCs w:val="20"/>
        </w:rPr>
        <w:t>how to</w:t>
      </w:r>
      <w:r w:rsidR="00010C03">
        <w:rPr>
          <w:rFonts w:cs="Batang"/>
          <w:sz w:val="20"/>
          <w:szCs w:val="20"/>
        </w:rPr>
        <w:t xml:space="preserve"> associat</w:t>
      </w:r>
      <w:r w:rsidR="00D2248F">
        <w:rPr>
          <w:rFonts w:cs="Batang"/>
          <w:sz w:val="20"/>
          <w:szCs w:val="20"/>
        </w:rPr>
        <w:t>e</w:t>
      </w:r>
      <w:r w:rsidR="00010C03">
        <w:rPr>
          <w:rFonts w:cs="Batang"/>
          <w:sz w:val="20"/>
          <w:szCs w:val="20"/>
        </w:rPr>
        <w:t xml:space="preserve"> that single PTRS port </w:t>
      </w:r>
      <w:r w:rsidR="00D2248F">
        <w:rPr>
          <w:rFonts w:cs="Batang"/>
          <w:sz w:val="20"/>
          <w:szCs w:val="20"/>
        </w:rPr>
        <w:t>to one of the</w:t>
      </w:r>
      <w:r w:rsidR="00010C03">
        <w:rPr>
          <w:rFonts w:cs="Batang"/>
          <w:sz w:val="20"/>
          <w:szCs w:val="20"/>
        </w:rPr>
        <w:t xml:space="preserve"> two SRS resource sets</w:t>
      </w:r>
      <w:r>
        <w:rPr>
          <w:rFonts w:cs="Batang"/>
          <w:sz w:val="20"/>
          <w:szCs w:val="20"/>
        </w:rPr>
        <w:t xml:space="preserve">. </w:t>
      </w:r>
      <w:r w:rsidR="00D2248F">
        <w:rPr>
          <w:rFonts w:cs="Batang"/>
          <w:sz w:val="20"/>
          <w:szCs w:val="20"/>
        </w:rPr>
        <w:t>Besides, there is no strong use case to have one PTRS port for SDM</w:t>
      </w:r>
      <w:r w:rsidR="00D814FE">
        <w:rPr>
          <w:rFonts w:cs="Batang"/>
          <w:sz w:val="20"/>
          <w:szCs w:val="20"/>
        </w:rPr>
        <w:t xml:space="preserve"> operation</w:t>
      </w:r>
      <w:r w:rsidR="00D2248F">
        <w:rPr>
          <w:rFonts w:cs="Batang"/>
          <w:sz w:val="20"/>
          <w:szCs w:val="20"/>
        </w:rPr>
        <w:t xml:space="preserve">. Having said that, we don’t think any RRC configuration is needed to indicate number of PTRS ports for SDM. If UE is configured with </w:t>
      </w:r>
      <w:r w:rsidR="00D2248F" w:rsidRPr="00FF0BB3">
        <w:rPr>
          <w:rFonts w:cs="Batang"/>
          <w:i/>
          <w:iCs/>
          <w:sz w:val="20"/>
          <w:szCs w:val="20"/>
        </w:rPr>
        <w:t>PTRS-UplinkConfig</w:t>
      </w:r>
      <w:r w:rsidR="00D2248F" w:rsidRPr="00FF0BB3">
        <w:rPr>
          <w:rFonts w:cs="Batang"/>
          <w:sz w:val="20"/>
          <w:szCs w:val="20"/>
        </w:rPr>
        <w:t xml:space="preserve"> is configured</w:t>
      </w:r>
      <w:r w:rsidR="00D2248F">
        <w:rPr>
          <w:rFonts w:cs="Batang"/>
          <w:sz w:val="20"/>
          <w:szCs w:val="20"/>
        </w:rPr>
        <w:t xml:space="preserve">, that implicitly sets two PTRS ports for SDM. </w:t>
      </w:r>
    </w:p>
    <w:p w14:paraId="3D2AF551" w14:textId="77777777" w:rsidR="00D2248F" w:rsidRPr="003277F3" w:rsidRDefault="00D2248F" w:rsidP="00FF0BB3">
      <w:pPr>
        <w:jc w:val="both"/>
        <w:rPr>
          <w:rFonts w:cs="Batang"/>
          <w:sz w:val="20"/>
          <w:szCs w:val="20"/>
        </w:rPr>
      </w:pPr>
    </w:p>
    <w:p w14:paraId="585EC1E9" w14:textId="6303E59E" w:rsidR="00D2248F" w:rsidRPr="003277F3" w:rsidRDefault="00D2248F" w:rsidP="00D2248F">
      <w:pPr>
        <w:pStyle w:val="0Maintext"/>
        <w:spacing w:after="0" w:afterAutospacing="0" w:line="240" w:lineRule="auto"/>
        <w:ind w:firstLine="0"/>
        <w:rPr>
          <w:b/>
          <w:bCs/>
          <w:i/>
          <w:iCs/>
        </w:rPr>
      </w:pPr>
      <w:r w:rsidRPr="003277F3">
        <w:rPr>
          <w:b/>
          <w:bCs/>
          <w:i/>
          <w:iCs/>
          <w:lang w:val="en-US" w:eastAsia="zh-CN"/>
        </w:rPr>
        <w:t>Proposal 2</w:t>
      </w:r>
      <w:r w:rsidRPr="003277F3">
        <w:rPr>
          <w:b/>
          <w:bCs/>
          <w:i/>
          <w:iCs/>
        </w:rPr>
        <w:t xml:space="preserve">: Number of PTRS ports </w:t>
      </w:r>
      <w:r w:rsidR="003277F3" w:rsidRPr="003277F3">
        <w:rPr>
          <w:b/>
          <w:bCs/>
          <w:i/>
          <w:iCs/>
        </w:rPr>
        <w:t>for SDM is fixed to two, if UE is configured with PTRS-UplinkConfig</w:t>
      </w:r>
      <w:r w:rsidR="003277F3">
        <w:rPr>
          <w:b/>
          <w:bCs/>
          <w:i/>
          <w:iCs/>
          <w:lang w:val="en-CA"/>
        </w:rPr>
        <w:t xml:space="preserve">, so no separate RRC indication is needed for SDM number of PTRS </w:t>
      </w:r>
      <w:proofErr w:type="gramStart"/>
      <w:r w:rsidR="003277F3">
        <w:rPr>
          <w:b/>
          <w:bCs/>
          <w:i/>
          <w:iCs/>
          <w:lang w:val="en-CA"/>
        </w:rPr>
        <w:t>ports</w:t>
      </w:r>
      <w:proofErr w:type="gramEnd"/>
      <w:r w:rsidR="003277F3">
        <w:rPr>
          <w:b/>
          <w:bCs/>
          <w:i/>
          <w:iCs/>
          <w:lang w:val="en-CA"/>
        </w:rPr>
        <w:t xml:space="preserve"> </w:t>
      </w:r>
    </w:p>
    <w:p w14:paraId="7B619FE9" w14:textId="77777777" w:rsidR="003856A5" w:rsidRPr="005E6E03" w:rsidRDefault="003856A5" w:rsidP="005E6E03">
      <w:pPr>
        <w:jc w:val="both"/>
        <w:rPr>
          <w:b/>
          <w:bCs/>
          <w:i/>
          <w:iCs/>
          <w:sz w:val="20"/>
          <w:szCs w:val="20"/>
        </w:rPr>
      </w:pPr>
    </w:p>
    <w:p w14:paraId="757AEEE3" w14:textId="77777777" w:rsidR="00537D1F" w:rsidRDefault="00537D1F" w:rsidP="00537D1F">
      <w:pPr>
        <w:pStyle w:val="Heading2"/>
      </w:pPr>
      <w:r>
        <w:t>PUSCH Mapping to REs</w:t>
      </w:r>
    </w:p>
    <w:p w14:paraId="082B61DF" w14:textId="77777777" w:rsidR="00537D1F" w:rsidRDefault="00537D1F" w:rsidP="00537D1F">
      <w:pPr>
        <w:jc w:val="both"/>
        <w:rPr>
          <w:rFonts w:cs="Batang"/>
          <w:sz w:val="20"/>
          <w:szCs w:val="20"/>
        </w:rPr>
      </w:pPr>
      <w:r w:rsidRPr="00802205">
        <w:rPr>
          <w:rFonts w:cs="Batang"/>
          <w:sz w:val="20"/>
          <w:szCs w:val="20"/>
        </w:rPr>
        <w:t>If UE is indicated to transmit</w:t>
      </w:r>
      <w:r>
        <w:rPr>
          <w:rFonts w:cs="Batang"/>
          <w:sz w:val="20"/>
          <w:szCs w:val="20"/>
        </w:rPr>
        <w:t xml:space="preserve"> </w:t>
      </w:r>
      <w:r w:rsidRPr="00802205">
        <w:rPr>
          <w:rFonts w:cs="Batang"/>
          <w:sz w:val="20"/>
          <w:szCs w:val="20"/>
        </w:rPr>
        <w:t xml:space="preserve">a single TB </w:t>
      </w:r>
      <w:r>
        <w:rPr>
          <w:rFonts w:cs="Batang"/>
          <w:sz w:val="20"/>
          <w:szCs w:val="20"/>
        </w:rPr>
        <w:t xml:space="preserve">through simultaneous PUSCH </w:t>
      </w:r>
      <w:r w:rsidRPr="00802205">
        <w:rPr>
          <w:rFonts w:cs="Batang"/>
          <w:sz w:val="20"/>
          <w:szCs w:val="20"/>
        </w:rPr>
        <w:t>transmissions</w:t>
      </w:r>
      <w:r>
        <w:rPr>
          <w:rFonts w:cs="Batang"/>
          <w:sz w:val="20"/>
          <w:szCs w:val="20"/>
        </w:rPr>
        <w:t xml:space="preserve"> </w:t>
      </w:r>
      <w:r w:rsidRPr="00802205">
        <w:rPr>
          <w:rFonts w:cs="Batang"/>
          <w:sz w:val="20"/>
          <w:szCs w:val="20"/>
        </w:rPr>
        <w:t xml:space="preserve">over multi-panel, </w:t>
      </w:r>
      <w:r>
        <w:rPr>
          <w:rFonts w:cs="Batang"/>
          <w:sz w:val="20"/>
          <w:szCs w:val="20"/>
        </w:rPr>
        <w:t xml:space="preserve">current specification can be adopted to determine the TB size. For mapping of the coded symbols to the REs, different options can be discussed, For </w:t>
      </w:r>
      <w:proofErr w:type="gramStart"/>
      <w:r>
        <w:rPr>
          <w:rFonts w:cs="Batang"/>
          <w:sz w:val="20"/>
          <w:szCs w:val="20"/>
        </w:rPr>
        <w:t>example</w:t>
      </w:r>
      <w:proofErr w:type="gramEnd"/>
    </w:p>
    <w:p w14:paraId="03564E9B" w14:textId="77777777" w:rsidR="00537D1F" w:rsidRDefault="00537D1F" w:rsidP="00537D1F">
      <w:pPr>
        <w:pStyle w:val="ListParagraph"/>
        <w:numPr>
          <w:ilvl w:val="0"/>
          <w:numId w:val="17"/>
        </w:numPr>
        <w:ind w:leftChars="0"/>
        <w:jc w:val="both"/>
        <w:rPr>
          <w:rFonts w:cs="Batang"/>
          <w:szCs w:val="20"/>
        </w:rPr>
      </w:pPr>
      <w:r>
        <w:rPr>
          <w:rFonts w:cs="Batang"/>
          <w:szCs w:val="20"/>
        </w:rPr>
        <w:t xml:space="preserve">Option </w:t>
      </w:r>
      <w:r w:rsidRPr="00C90BE2">
        <w:rPr>
          <w:rFonts w:cs="Batang"/>
          <w:szCs w:val="20"/>
        </w:rPr>
        <w:t xml:space="preserve">1: start with the first allocated symbol, the coded symbols are mapped in frequency first to all resource elements (REs) associated to </w:t>
      </w:r>
      <w:r>
        <w:rPr>
          <w:rFonts w:cs="Batang"/>
          <w:szCs w:val="20"/>
        </w:rPr>
        <w:t>the 1</w:t>
      </w:r>
      <w:r w:rsidRPr="002672E4">
        <w:rPr>
          <w:rFonts w:cs="Batang"/>
          <w:szCs w:val="20"/>
          <w:vertAlign w:val="superscript"/>
        </w:rPr>
        <w:t>st</w:t>
      </w:r>
      <w:r>
        <w:rPr>
          <w:rFonts w:cs="Batang"/>
          <w:szCs w:val="20"/>
        </w:rPr>
        <w:t xml:space="preserve"> </w:t>
      </w:r>
      <w:r w:rsidRPr="00C90BE2">
        <w:rPr>
          <w:rFonts w:cs="Batang"/>
          <w:szCs w:val="20"/>
        </w:rPr>
        <w:t>PUSCH</w:t>
      </w:r>
      <w:r>
        <w:rPr>
          <w:rFonts w:cs="Batang"/>
          <w:szCs w:val="20"/>
        </w:rPr>
        <w:t xml:space="preserve"> </w:t>
      </w:r>
      <w:r w:rsidRPr="00C90BE2">
        <w:rPr>
          <w:rFonts w:cs="Batang"/>
          <w:szCs w:val="20"/>
        </w:rPr>
        <w:t>and next to REs associated to</w:t>
      </w:r>
      <w:r>
        <w:rPr>
          <w:rFonts w:cs="Batang"/>
          <w:szCs w:val="20"/>
        </w:rPr>
        <w:t xml:space="preserve"> the 2</w:t>
      </w:r>
      <w:r w:rsidRPr="002672E4">
        <w:rPr>
          <w:rFonts w:cs="Batang"/>
          <w:szCs w:val="20"/>
          <w:vertAlign w:val="superscript"/>
        </w:rPr>
        <w:t>nd</w:t>
      </w:r>
      <w:r>
        <w:rPr>
          <w:rFonts w:cs="Batang"/>
          <w:szCs w:val="20"/>
        </w:rPr>
        <w:t xml:space="preserve"> </w:t>
      </w:r>
      <w:r w:rsidRPr="00C90BE2">
        <w:rPr>
          <w:rFonts w:cs="Batang"/>
          <w:szCs w:val="20"/>
        </w:rPr>
        <w:t xml:space="preserve">PUSCH. </w:t>
      </w:r>
      <w:r>
        <w:rPr>
          <w:rFonts w:cs="Batang"/>
          <w:szCs w:val="20"/>
        </w:rPr>
        <w:t>Next</w:t>
      </w:r>
      <w:r w:rsidRPr="00C90BE2">
        <w:rPr>
          <w:rFonts w:cs="Batang"/>
          <w:szCs w:val="20"/>
        </w:rPr>
        <w:t xml:space="preserve"> move to the next symbol</w:t>
      </w:r>
      <w:r>
        <w:rPr>
          <w:rFonts w:cs="Batang"/>
          <w:szCs w:val="20"/>
        </w:rPr>
        <w:t>.</w:t>
      </w:r>
      <w:r w:rsidRPr="00C90BE2">
        <w:rPr>
          <w:rFonts w:cs="Batang"/>
          <w:szCs w:val="20"/>
        </w:rPr>
        <w:t xml:space="preserve">  </w:t>
      </w:r>
    </w:p>
    <w:p w14:paraId="21123254" w14:textId="77777777" w:rsidR="00537D1F" w:rsidRDefault="00537D1F" w:rsidP="00537D1F">
      <w:pPr>
        <w:pStyle w:val="ListParagraph"/>
        <w:numPr>
          <w:ilvl w:val="0"/>
          <w:numId w:val="17"/>
        </w:numPr>
        <w:ind w:leftChars="0"/>
        <w:jc w:val="both"/>
        <w:rPr>
          <w:rFonts w:cs="Batang"/>
          <w:szCs w:val="20"/>
        </w:rPr>
      </w:pPr>
      <w:r>
        <w:rPr>
          <w:rFonts w:cs="Batang"/>
          <w:szCs w:val="20"/>
        </w:rPr>
        <w:t xml:space="preserve">Option </w:t>
      </w:r>
      <w:r w:rsidRPr="002672E4">
        <w:rPr>
          <w:rFonts w:cs="Batang"/>
          <w:szCs w:val="20"/>
        </w:rPr>
        <w:t xml:space="preserve">2: start with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coded bits are mapped in all frequency and time REs associated to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(frequency next time). Next</w:t>
      </w:r>
      <w:r>
        <w:rPr>
          <w:rFonts w:cs="Batang"/>
          <w:szCs w:val="20"/>
        </w:rPr>
        <w:t>,</w:t>
      </w:r>
      <w:r w:rsidRPr="002672E4">
        <w:rPr>
          <w:rFonts w:cs="Batang"/>
          <w:szCs w:val="20"/>
        </w:rPr>
        <w:t xml:space="preserve"> move to </w:t>
      </w:r>
      <w:r>
        <w:rPr>
          <w:rFonts w:cs="Batang"/>
          <w:szCs w:val="20"/>
        </w:rPr>
        <w:t>2</w:t>
      </w:r>
      <w:r w:rsidRPr="002672E4">
        <w:rPr>
          <w:rFonts w:cs="Batang"/>
          <w:szCs w:val="20"/>
          <w:vertAlign w:val="superscript"/>
        </w:rPr>
        <w:t>nd</w:t>
      </w:r>
      <w:r>
        <w:rPr>
          <w:rFonts w:cs="Batang"/>
          <w:szCs w:val="20"/>
        </w:rPr>
        <w:t xml:space="preserve"> PUSCH.</w:t>
      </w:r>
    </w:p>
    <w:p w14:paraId="522185D3" w14:textId="77777777" w:rsidR="00537D1F" w:rsidRDefault="00537D1F" w:rsidP="00537D1F">
      <w:pPr>
        <w:jc w:val="both"/>
        <w:rPr>
          <w:rFonts w:cs="Batang"/>
          <w:szCs w:val="20"/>
        </w:rPr>
      </w:pPr>
    </w:p>
    <w:p w14:paraId="5E2CDB0B" w14:textId="372D78C1" w:rsidR="00502505" w:rsidRPr="00A30F00" w:rsidRDefault="00537D1F" w:rsidP="00A30F00">
      <w:pPr>
        <w:pStyle w:val="0Maintext"/>
        <w:spacing w:after="120" w:afterAutospacing="0" w:line="240" w:lineRule="auto"/>
        <w:ind w:firstLine="0"/>
        <w:rPr>
          <w:b/>
          <w:bCs/>
          <w:i/>
          <w:iCs/>
        </w:rPr>
      </w:pPr>
      <w:r w:rsidRPr="00E96C6C">
        <w:rPr>
          <w:b/>
          <w:bCs/>
          <w:i/>
          <w:iCs/>
          <w:lang w:val="en-US" w:eastAsia="zh-CN"/>
        </w:rPr>
        <w:t xml:space="preserve">Proposal </w:t>
      </w:r>
      <w:r w:rsidR="00A30F00">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2F66CD11" w14:textId="25A9A765" w:rsidR="00537D1F" w:rsidRPr="00115255" w:rsidRDefault="00537D1F" w:rsidP="00537D1F">
      <w:pPr>
        <w:pStyle w:val="Heading1"/>
      </w:pPr>
      <w:r>
        <w:lastRenderedPageBreak/>
        <w:t xml:space="preserve">multi-DCI based </w:t>
      </w:r>
      <w:proofErr w:type="gramStart"/>
      <w:r>
        <w:t>STxMP</w:t>
      </w:r>
      <w:proofErr w:type="gramEnd"/>
    </w:p>
    <w:p w14:paraId="27656197" w14:textId="7CA9E033" w:rsidR="00846787" w:rsidRPr="00537D1F" w:rsidRDefault="00FA51AC" w:rsidP="00846787">
      <w:pPr>
        <w:pStyle w:val="Heading2"/>
      </w:pPr>
      <w:r>
        <w:t xml:space="preserve">Power </w:t>
      </w:r>
      <w:r w:rsidR="0000344A">
        <w:t>adjustment</w:t>
      </w:r>
    </w:p>
    <w:p w14:paraId="6D2EB233" w14:textId="1559521A" w:rsidR="0000344A" w:rsidRPr="0005334C" w:rsidRDefault="0000344A" w:rsidP="0005334C">
      <w:pPr>
        <w:jc w:val="both"/>
        <w:rPr>
          <w:rFonts w:cs="Batang"/>
          <w:sz w:val="20"/>
          <w:szCs w:val="20"/>
          <w:lang w:val="en-GB" w:eastAsia="en-US"/>
        </w:rPr>
      </w:pPr>
      <w:r>
        <w:rPr>
          <w:rFonts w:cs="Batang"/>
          <w:sz w:val="20"/>
          <w:szCs w:val="20"/>
          <w:lang w:val="en-GB" w:eastAsia="en-US"/>
        </w:rPr>
        <w:t>In RAN1#110b-e, it was agreed that:</w:t>
      </w:r>
    </w:p>
    <w:p w14:paraId="45C5E642" w14:textId="5F48FB24" w:rsidR="0000344A" w:rsidRPr="0000344A" w:rsidRDefault="0000344A" w:rsidP="0000344A">
      <w:pPr>
        <w:rPr>
          <w:rFonts w:cs="Times"/>
          <w:b/>
          <w:bCs/>
          <w:sz w:val="20"/>
          <w:szCs w:val="20"/>
          <w:highlight w:val="green"/>
          <w:lang w:val="en-CA"/>
        </w:rPr>
      </w:pPr>
      <w:r w:rsidRPr="0000344A">
        <w:rPr>
          <w:rFonts w:cs="Times"/>
          <w:b/>
          <w:bCs/>
          <w:sz w:val="20"/>
          <w:szCs w:val="20"/>
          <w:highlight w:val="green"/>
          <w:lang w:val="en-CA"/>
        </w:rPr>
        <w:t>Agreement</w:t>
      </w:r>
    </w:p>
    <w:p w14:paraId="541F42D3" w14:textId="77777777" w:rsidR="0000344A" w:rsidRPr="0000344A" w:rsidRDefault="0000344A" w:rsidP="0000344A">
      <w:pPr>
        <w:rPr>
          <w:bCs/>
          <w:sz w:val="20"/>
          <w:szCs w:val="20"/>
        </w:rPr>
      </w:pPr>
      <w:r w:rsidRPr="0000344A">
        <w:rPr>
          <w:bCs/>
          <w:sz w:val="20"/>
          <w:szCs w:val="20"/>
        </w:rPr>
        <w:t>The multi-DCI based STxMP PUSCH+PUSCH transmission supports fully/partially/non-overlapping in frequency domain and fully/partially overlapping in time domain.</w:t>
      </w:r>
    </w:p>
    <w:p w14:paraId="4E53721E" w14:textId="77777777" w:rsidR="0000344A" w:rsidRP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FFS whether/how to handle the PUSCH power adjustment when two PUSCHs are fully/partially overlapped in time domain (Depending on RAN4’s input on Pcmax requirements).</w:t>
      </w:r>
    </w:p>
    <w:p w14:paraId="724DBE17" w14:textId="77777777" w:rsid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Note: No symbol-level power adjustment within a PUSCH transmission occassion in the case of fully/partially overlapping in time domain</w:t>
      </w:r>
    </w:p>
    <w:p w14:paraId="5A983809" w14:textId="77777777" w:rsidR="00320EE1" w:rsidRDefault="00320EE1" w:rsidP="00320EE1">
      <w:pPr>
        <w:jc w:val="both"/>
        <w:rPr>
          <w:bCs/>
          <w:szCs w:val="20"/>
        </w:rPr>
      </w:pPr>
    </w:p>
    <w:p w14:paraId="364368F8" w14:textId="5227EE09" w:rsidR="00320EE1" w:rsidRDefault="00320EE1" w:rsidP="0005334C">
      <w:pPr>
        <w:autoSpaceDE w:val="0"/>
        <w:autoSpaceDN w:val="0"/>
        <w:adjustRightInd w:val="0"/>
        <w:jc w:val="both"/>
        <w:rPr>
          <w:rFonts w:eastAsiaTheme="minorEastAsia"/>
          <w:sz w:val="20"/>
          <w:szCs w:val="20"/>
        </w:rPr>
      </w:pPr>
      <w:r w:rsidRPr="00320EE1">
        <w:rPr>
          <w:rFonts w:eastAsiaTheme="minorEastAsia"/>
          <w:sz w:val="20"/>
          <w:szCs w:val="20"/>
        </w:rPr>
        <w:t>For mTRP based STxMP when two PUSCHs are fully/partially overlapped in time domain, if UE is</w:t>
      </w:r>
      <w:r>
        <w:rPr>
          <w:rFonts w:eastAsiaTheme="minorEastAsia"/>
          <w:sz w:val="20"/>
          <w:szCs w:val="20"/>
        </w:rPr>
        <w:t xml:space="preserve"> </w:t>
      </w:r>
      <w:r w:rsidRPr="00320EE1">
        <w:rPr>
          <w:rFonts w:eastAsiaTheme="minorEastAsia"/>
          <w:sz w:val="20"/>
          <w:szCs w:val="20"/>
        </w:rPr>
        <w:t xml:space="preserve">configured with </w:t>
      </w:r>
      <w:r>
        <w:rPr>
          <w:rFonts w:eastAsiaTheme="minorEastAsia"/>
          <w:sz w:val="20"/>
          <w:szCs w:val="20"/>
        </w:rPr>
        <w:t xml:space="preserve">a </w:t>
      </w:r>
      <w:r w:rsidRPr="00320EE1">
        <w:rPr>
          <w:rFonts w:eastAsiaTheme="minorEastAsia"/>
          <w:sz w:val="20"/>
          <w:szCs w:val="20"/>
        </w:rPr>
        <w:t xml:space="preserve">total power constraint </w:t>
      </w:r>
      <w:proofErr w:type="gramStart"/>
      <w:r w:rsidRPr="00320EE1">
        <w:rPr>
          <w:rFonts w:eastAsiaTheme="minorEastAsia"/>
          <w:sz w:val="20"/>
          <w:szCs w:val="20"/>
        </w:rPr>
        <w:t>P</w:t>
      </w:r>
      <w:r w:rsidRPr="00320EE1">
        <w:rPr>
          <w:rFonts w:eastAsiaTheme="minorEastAsia"/>
          <w:sz w:val="20"/>
          <w:szCs w:val="20"/>
          <w:vertAlign w:val="subscript"/>
        </w:rPr>
        <w:t>CM</w:t>
      </w:r>
      <w:r>
        <w:rPr>
          <w:rFonts w:eastAsiaTheme="minorEastAsia"/>
          <w:sz w:val="20"/>
          <w:szCs w:val="20"/>
          <w:vertAlign w:val="subscript"/>
        </w:rPr>
        <w:t>AX</w:t>
      </w:r>
      <w:r w:rsidRPr="00320EE1">
        <w:rPr>
          <w:rFonts w:eastAsiaTheme="minorEastAsia"/>
          <w:sz w:val="20"/>
          <w:szCs w:val="20"/>
          <w:vertAlign w:val="subscript"/>
        </w:rPr>
        <w:t>,f</w:t>
      </w:r>
      <w:proofErr w:type="gramEnd"/>
      <w:r w:rsidRPr="00320EE1">
        <w:rPr>
          <w:rFonts w:eastAsiaTheme="minorEastAsia"/>
          <w:sz w:val="20"/>
          <w:szCs w:val="20"/>
          <w:vertAlign w:val="subscript"/>
        </w:rPr>
        <w:t xml:space="preserve">,c </w:t>
      </w:r>
      <w:r w:rsidRPr="00320EE1">
        <w:rPr>
          <w:rFonts w:eastAsiaTheme="minorEastAsia"/>
          <w:sz w:val="20"/>
          <w:szCs w:val="20"/>
        </w:rPr>
        <w:t>across both panels for STxMP operation</w:t>
      </w:r>
      <w:r>
        <w:rPr>
          <w:rFonts w:eastAsiaTheme="minorEastAsia"/>
          <w:sz w:val="20"/>
          <w:szCs w:val="20"/>
        </w:rPr>
        <w:t xml:space="preserve">, </w:t>
      </w:r>
      <w:r w:rsidRPr="00320EE1">
        <w:rPr>
          <w:rFonts w:eastAsiaTheme="minorEastAsia"/>
          <w:sz w:val="20"/>
          <w:szCs w:val="20"/>
        </w:rPr>
        <w:t>PUSCH transmission power for each PUSCH, i.e. P</w:t>
      </w:r>
      <w:r w:rsidRPr="00320EE1">
        <w:rPr>
          <w:rFonts w:eastAsiaTheme="minorEastAsia"/>
          <w:sz w:val="20"/>
          <w:szCs w:val="20"/>
          <w:vertAlign w:val="subscript"/>
        </w:rPr>
        <w:t>1</w:t>
      </w:r>
      <w:r w:rsidRPr="00320EE1">
        <w:rPr>
          <w:rFonts w:eastAsiaTheme="minorEastAsia"/>
          <w:sz w:val="20"/>
          <w:szCs w:val="20"/>
        </w:rPr>
        <w:t xml:space="preserve"> and P</w:t>
      </w:r>
      <w:r w:rsidRPr="00320EE1">
        <w:rPr>
          <w:rFonts w:eastAsiaTheme="minorEastAsia"/>
          <w:sz w:val="20"/>
          <w:szCs w:val="20"/>
          <w:vertAlign w:val="subscript"/>
        </w:rPr>
        <w:t>2</w:t>
      </w:r>
      <w:r w:rsidRPr="00320EE1">
        <w:rPr>
          <w:rFonts w:eastAsiaTheme="minorEastAsia"/>
          <w:sz w:val="20"/>
          <w:szCs w:val="20"/>
        </w:rPr>
        <w:t>, is determined based on 38.213, clause 7.1 and 7.1.1</w:t>
      </w:r>
      <w:r w:rsidR="0005334C">
        <w:rPr>
          <w:rFonts w:eastAsiaTheme="minorEastAsia"/>
          <w:sz w:val="20"/>
          <w:szCs w:val="20"/>
        </w:rPr>
        <w:t xml:space="preserve">. If </w:t>
      </w:r>
      <w:r w:rsidRPr="00320EE1">
        <w:rPr>
          <w:rFonts w:eastAsiaTheme="minorEastAsia"/>
          <w:sz w:val="20"/>
          <w:szCs w:val="20"/>
        </w:rPr>
        <w:t>P</w:t>
      </w:r>
      <w:r w:rsidRPr="0005334C">
        <w:rPr>
          <w:rFonts w:eastAsiaTheme="minorEastAsia"/>
          <w:sz w:val="20"/>
          <w:szCs w:val="20"/>
          <w:vertAlign w:val="subscript"/>
        </w:rPr>
        <w:t>1</w:t>
      </w:r>
      <w:r w:rsidRPr="00320EE1">
        <w:rPr>
          <w:rFonts w:eastAsiaTheme="minorEastAsia"/>
          <w:sz w:val="20"/>
          <w:szCs w:val="20"/>
        </w:rPr>
        <w:t xml:space="preserve"> + P</w:t>
      </w:r>
      <w:r w:rsidRPr="0005334C">
        <w:rPr>
          <w:rFonts w:eastAsiaTheme="minorEastAsia"/>
          <w:sz w:val="20"/>
          <w:szCs w:val="20"/>
          <w:vertAlign w:val="subscript"/>
        </w:rPr>
        <w:t>2</w:t>
      </w:r>
      <w:r w:rsidRPr="00320EE1">
        <w:rPr>
          <w:rFonts w:eastAsiaTheme="minorEastAsia"/>
          <w:sz w:val="20"/>
          <w:szCs w:val="20"/>
        </w:rPr>
        <w:t xml:space="preserve">&gt; </w:t>
      </w:r>
      <w:proofErr w:type="gramStart"/>
      <w:r w:rsidR="0005334C" w:rsidRPr="00320EE1">
        <w:rPr>
          <w:rFonts w:eastAsiaTheme="minorEastAsia"/>
          <w:sz w:val="20"/>
          <w:szCs w:val="20"/>
        </w:rPr>
        <w:t>P</w:t>
      </w:r>
      <w:r w:rsidR="0005334C" w:rsidRPr="00320EE1">
        <w:rPr>
          <w:rFonts w:eastAsiaTheme="minorEastAsia"/>
          <w:sz w:val="20"/>
          <w:szCs w:val="20"/>
          <w:vertAlign w:val="subscript"/>
        </w:rPr>
        <w:t>CM</w:t>
      </w:r>
      <w:r w:rsidR="0005334C">
        <w:rPr>
          <w:rFonts w:eastAsiaTheme="minorEastAsia"/>
          <w:sz w:val="20"/>
          <w:szCs w:val="20"/>
          <w:vertAlign w:val="subscript"/>
        </w:rPr>
        <w:t>AX</w:t>
      </w:r>
      <w:r w:rsidR="0005334C" w:rsidRPr="00320EE1">
        <w:rPr>
          <w:rFonts w:eastAsiaTheme="minorEastAsia"/>
          <w:sz w:val="20"/>
          <w:szCs w:val="20"/>
          <w:vertAlign w:val="subscript"/>
        </w:rPr>
        <w:t>,f</w:t>
      </w:r>
      <w:proofErr w:type="gramEnd"/>
      <w:r w:rsidR="0005334C" w:rsidRPr="00320EE1">
        <w:rPr>
          <w:rFonts w:eastAsiaTheme="minorEastAsia"/>
          <w:sz w:val="20"/>
          <w:szCs w:val="20"/>
          <w:vertAlign w:val="subscript"/>
        </w:rPr>
        <w:t xml:space="preserve">,c </w:t>
      </w:r>
      <w:r w:rsidRPr="00320EE1">
        <w:rPr>
          <w:rFonts w:eastAsiaTheme="minorEastAsia"/>
          <w:sz w:val="20"/>
          <w:szCs w:val="20"/>
        </w:rPr>
        <w:t>prioritization for transmission power reduction should be applied</w:t>
      </w:r>
      <w:r w:rsidR="0005334C">
        <w:rPr>
          <w:rFonts w:eastAsiaTheme="minorEastAsia"/>
          <w:sz w:val="20"/>
          <w:szCs w:val="20"/>
        </w:rPr>
        <w:t xml:space="preserve">, </w:t>
      </w:r>
      <w:r w:rsidRPr="00320EE1">
        <w:rPr>
          <w:rFonts w:eastAsiaTheme="minorEastAsia"/>
          <w:sz w:val="20"/>
          <w:szCs w:val="20"/>
        </w:rPr>
        <w:t xml:space="preserve">where low priority PUSCH </w:t>
      </w:r>
      <w:r w:rsidR="0005334C">
        <w:rPr>
          <w:rFonts w:eastAsiaTheme="minorEastAsia"/>
          <w:sz w:val="20"/>
          <w:szCs w:val="20"/>
        </w:rPr>
        <w:t>shall</w:t>
      </w:r>
      <w:r w:rsidRPr="00320EE1">
        <w:rPr>
          <w:rFonts w:eastAsiaTheme="minorEastAsia"/>
          <w:sz w:val="20"/>
          <w:szCs w:val="20"/>
        </w:rPr>
        <w:t xml:space="preserve"> be dropped. For instance: </w:t>
      </w:r>
      <w:r w:rsidR="0005334C">
        <w:rPr>
          <w:rFonts w:eastAsiaTheme="minorEastAsia"/>
          <w:sz w:val="20"/>
          <w:szCs w:val="20"/>
        </w:rPr>
        <w:t>the</w:t>
      </w:r>
      <w:r w:rsidRPr="00320EE1">
        <w:rPr>
          <w:rFonts w:eastAsiaTheme="minorEastAsia"/>
          <w:sz w:val="20"/>
          <w:szCs w:val="20"/>
        </w:rPr>
        <w:t xml:space="preserve"> DG-PUSCH survives, and CG-PUSCH is dropped, and/or </w:t>
      </w:r>
      <w:r w:rsidR="0005334C">
        <w:rPr>
          <w:rFonts w:eastAsiaTheme="minorEastAsia"/>
          <w:sz w:val="20"/>
          <w:szCs w:val="20"/>
        </w:rPr>
        <w:t>the</w:t>
      </w:r>
      <w:r w:rsidRPr="00320EE1">
        <w:rPr>
          <w:rFonts w:eastAsiaTheme="minorEastAsia"/>
          <w:sz w:val="20"/>
          <w:szCs w:val="20"/>
        </w:rPr>
        <w:t xml:space="preserve"> PUSCH that starts earlier will survive, </w:t>
      </w:r>
      <w:r w:rsidR="0005334C">
        <w:rPr>
          <w:rFonts w:eastAsiaTheme="minorEastAsia"/>
          <w:sz w:val="20"/>
          <w:szCs w:val="20"/>
        </w:rPr>
        <w:t xml:space="preserve">and </w:t>
      </w:r>
      <w:r w:rsidRPr="00320EE1">
        <w:rPr>
          <w:rFonts w:eastAsiaTheme="minorEastAsia"/>
          <w:sz w:val="20"/>
          <w:szCs w:val="20"/>
        </w:rPr>
        <w:t>the other PUSCH is dropped</w:t>
      </w:r>
      <w:r w:rsidR="0005334C">
        <w:rPr>
          <w:rFonts w:eastAsiaTheme="minorEastAsia"/>
          <w:sz w:val="20"/>
          <w:szCs w:val="20"/>
        </w:rPr>
        <w:t>.</w:t>
      </w:r>
    </w:p>
    <w:p w14:paraId="3CBB606E" w14:textId="77777777" w:rsidR="00151B45" w:rsidRDefault="00151B45" w:rsidP="0005334C">
      <w:pPr>
        <w:pStyle w:val="0Maintext"/>
        <w:spacing w:after="120" w:afterAutospacing="0" w:line="240" w:lineRule="auto"/>
        <w:ind w:firstLine="0"/>
        <w:rPr>
          <w:b/>
          <w:bCs/>
          <w:i/>
          <w:iCs/>
          <w:lang w:val="en-US" w:eastAsia="zh-CN"/>
        </w:rPr>
      </w:pPr>
    </w:p>
    <w:p w14:paraId="22058569" w14:textId="379D02D3" w:rsidR="00203EB5" w:rsidRPr="00203EB5" w:rsidRDefault="0005334C" w:rsidP="00203EB5">
      <w:pPr>
        <w:pStyle w:val="0Maintext"/>
        <w:spacing w:after="120" w:afterAutospacing="0" w:line="240" w:lineRule="auto"/>
        <w:ind w:firstLine="0"/>
        <w:rPr>
          <w:b/>
          <w:bCs/>
          <w:i/>
          <w:iCs/>
        </w:rPr>
      </w:pPr>
      <w:r w:rsidRPr="00E96C6C">
        <w:rPr>
          <w:b/>
          <w:bCs/>
          <w:i/>
          <w:iCs/>
          <w:lang w:val="en-US" w:eastAsia="zh-CN"/>
        </w:rPr>
        <w:t xml:space="preserve">Proposal </w:t>
      </w:r>
      <w:r w:rsidR="00203EB5">
        <w:rPr>
          <w:b/>
          <w:bCs/>
          <w:i/>
          <w:iCs/>
          <w:lang w:val="en-US" w:eastAsia="zh-CN"/>
        </w:rPr>
        <w:t>4</w:t>
      </w:r>
      <w:r w:rsidRPr="00E96C6C">
        <w:rPr>
          <w:b/>
          <w:bCs/>
          <w:i/>
          <w:iCs/>
          <w:lang w:val="en-US" w:eastAsia="zh-CN"/>
        </w:rPr>
        <w:t>:</w:t>
      </w:r>
      <w:r w:rsidR="00203EB5">
        <w:rPr>
          <w:b/>
          <w:bCs/>
          <w:i/>
          <w:iCs/>
          <w:lang w:val="en-US" w:eastAsia="zh-CN"/>
        </w:rPr>
        <w:t xml:space="preserve"> </w:t>
      </w:r>
      <w:r w:rsidR="00203EB5" w:rsidRPr="00203EB5">
        <w:rPr>
          <w:b/>
          <w:bCs/>
          <w:i/>
          <w:iCs/>
          <w:lang w:val="en-US"/>
        </w:rPr>
        <w:t>For mTRP based STxMP with PUSCH+PUSCH, if UE is configured with</w:t>
      </w:r>
      <w:r w:rsidR="00203EB5">
        <w:rPr>
          <w:b/>
          <w:bCs/>
          <w:i/>
          <w:iCs/>
          <w:lang w:val="en-US"/>
        </w:rPr>
        <w:t xml:space="preserve"> a</w:t>
      </w:r>
      <w:r w:rsidR="00203EB5" w:rsidRPr="00203EB5">
        <w:rPr>
          <w:b/>
          <w:bCs/>
          <w:i/>
          <w:iCs/>
          <w:lang w:val="en-US"/>
        </w:rPr>
        <w:t xml:space="preserve"> total power constraint </w:t>
      </w:r>
      <w:proofErr w:type="gramStart"/>
      <w:r w:rsidR="00203EB5" w:rsidRPr="00203EB5">
        <w:rPr>
          <w:b/>
          <w:bCs/>
          <w:i/>
          <w:iCs/>
          <w:lang w:val="en-US"/>
        </w:rPr>
        <w:t>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w:t>
      </w:r>
      <w:proofErr w:type="gramEnd"/>
      <w:r w:rsidR="00203EB5" w:rsidRPr="00203EB5">
        <w:rPr>
          <w:b/>
          <w:bCs/>
          <w:i/>
          <w:iCs/>
          <w:vertAlign w:val="subscript"/>
          <w:lang w:val="en-US"/>
        </w:rPr>
        <w:t>,c</w:t>
      </w:r>
      <w:r w:rsidR="00203EB5" w:rsidRPr="00203EB5">
        <w:rPr>
          <w:b/>
          <w:bCs/>
          <w:i/>
          <w:iCs/>
          <w:lang w:val="en-US"/>
        </w:rPr>
        <w:t xml:space="preserve"> across both panels for STxMP operation</w:t>
      </w:r>
      <w:r w:rsidR="00203EB5">
        <w:rPr>
          <w:b/>
          <w:bCs/>
          <w:i/>
          <w:iCs/>
          <w:lang w:val="en-US"/>
        </w:rPr>
        <w:t xml:space="preserve">, if </w:t>
      </w:r>
      <w:r w:rsidR="00203EB5" w:rsidRPr="00203EB5">
        <w:rPr>
          <w:b/>
          <w:bCs/>
          <w:i/>
          <w:iCs/>
          <w:lang w:val="en-US"/>
        </w:rPr>
        <w:t xml:space="preserve">PUSCH transmission power for each PUSCH, i.e. P1 and P2, is </w:t>
      </w:r>
      <w:r w:rsidR="00203EB5">
        <w:rPr>
          <w:b/>
          <w:bCs/>
          <w:i/>
          <w:iCs/>
          <w:lang w:val="en-US"/>
        </w:rPr>
        <w:t>such that</w:t>
      </w:r>
      <w:r w:rsidR="00203EB5">
        <w:rPr>
          <w:b/>
          <w:bCs/>
          <w:i/>
          <w:iCs/>
        </w:rPr>
        <w:t xml:space="preserve"> </w:t>
      </w:r>
      <w:r w:rsidR="00203EB5" w:rsidRPr="00203EB5">
        <w:rPr>
          <w:b/>
          <w:bCs/>
          <w:i/>
          <w:iCs/>
          <w:lang w:val="en-US"/>
        </w:rPr>
        <w:t>P1 + P2&gt; 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,f,c</w:t>
      </w:r>
      <w:r w:rsidR="00203EB5" w:rsidRPr="00203EB5">
        <w:rPr>
          <w:b/>
          <w:bCs/>
          <w:i/>
          <w:iCs/>
          <w:lang w:val="en-US"/>
        </w:rPr>
        <w:t xml:space="preserve">, prioritization for transmission power reduction </w:t>
      </w:r>
      <w:r w:rsidR="00203EB5">
        <w:rPr>
          <w:b/>
          <w:bCs/>
          <w:i/>
          <w:iCs/>
          <w:lang w:val="en-US"/>
        </w:rPr>
        <w:t>shall</w:t>
      </w:r>
      <w:r w:rsidR="00203EB5" w:rsidRPr="00203EB5">
        <w:rPr>
          <w:b/>
          <w:bCs/>
          <w:i/>
          <w:iCs/>
          <w:lang w:val="en-US"/>
        </w:rPr>
        <w:t xml:space="preserve"> be applied</w:t>
      </w:r>
      <w:r w:rsidR="00203EB5">
        <w:rPr>
          <w:b/>
          <w:bCs/>
          <w:i/>
          <w:iCs/>
          <w:lang w:val="en-US"/>
        </w:rPr>
        <w:t xml:space="preserve">, </w:t>
      </w:r>
      <w:r w:rsidR="00203EB5" w:rsidRPr="00203EB5">
        <w:rPr>
          <w:b/>
          <w:bCs/>
          <w:i/>
          <w:iCs/>
          <w:lang w:val="en-US"/>
        </w:rPr>
        <w:t xml:space="preserve">where </w:t>
      </w:r>
      <w:r w:rsidR="00203EB5">
        <w:rPr>
          <w:b/>
          <w:bCs/>
          <w:i/>
          <w:iCs/>
          <w:lang w:val="en-US"/>
        </w:rPr>
        <w:t xml:space="preserve">the </w:t>
      </w:r>
      <w:r w:rsidR="00203EB5" w:rsidRPr="00203EB5">
        <w:rPr>
          <w:b/>
          <w:bCs/>
          <w:i/>
          <w:iCs/>
          <w:lang w:val="en-US"/>
        </w:rPr>
        <w:t xml:space="preserve">low priority PUSCH </w:t>
      </w:r>
      <w:r w:rsidR="00203EB5">
        <w:rPr>
          <w:b/>
          <w:bCs/>
          <w:i/>
          <w:iCs/>
          <w:lang w:val="en-US"/>
        </w:rPr>
        <w:t>is dropped.</w:t>
      </w:r>
    </w:p>
    <w:p w14:paraId="1B612578" w14:textId="77777777" w:rsidR="0005334C" w:rsidRPr="0005334C" w:rsidRDefault="0005334C" w:rsidP="0005334C">
      <w:pPr>
        <w:autoSpaceDE w:val="0"/>
        <w:autoSpaceDN w:val="0"/>
        <w:adjustRightInd w:val="0"/>
        <w:jc w:val="both"/>
        <w:rPr>
          <w:rFonts w:eastAsiaTheme="minorEastAsia"/>
          <w:sz w:val="20"/>
          <w:szCs w:val="20"/>
        </w:rPr>
      </w:pPr>
    </w:p>
    <w:p w14:paraId="7766EEE7" w14:textId="2A86A2E6" w:rsidR="00856799" w:rsidRPr="00537D1F" w:rsidRDefault="00537D1F" w:rsidP="00537D1F">
      <w:pPr>
        <w:pStyle w:val="Heading2"/>
      </w:pPr>
      <w:r>
        <w:t>UCI multiplexing procedures</w:t>
      </w:r>
    </w:p>
    <w:p w14:paraId="7B31C878" w14:textId="6F85BF3C" w:rsidR="00602E99" w:rsidRDefault="00602E99" w:rsidP="00647F7D">
      <w:pPr>
        <w:jc w:val="both"/>
        <w:rPr>
          <w:rFonts w:cs="Batang"/>
          <w:sz w:val="20"/>
          <w:szCs w:val="20"/>
          <w:lang w:val="en-GB" w:eastAsia="en-US"/>
        </w:rPr>
      </w:pPr>
      <w:r>
        <w:rPr>
          <w:rFonts w:cs="Batang"/>
          <w:sz w:val="20"/>
          <w:szCs w:val="20"/>
          <w:lang w:val="en-GB" w:eastAsia="en-US"/>
        </w:rPr>
        <w:t>There has been some discussion in RAN1 on UCI multiplexing, when PUCCH overlaps with PUSCH+PUSCH. In RAN1#112, it was agreed that:</w:t>
      </w:r>
    </w:p>
    <w:p w14:paraId="2C3B158E" w14:textId="77777777" w:rsidR="00602E99" w:rsidRDefault="00602E99" w:rsidP="00647F7D">
      <w:pPr>
        <w:jc w:val="both"/>
        <w:rPr>
          <w:rFonts w:cs="Batang"/>
          <w:sz w:val="20"/>
          <w:szCs w:val="20"/>
          <w:lang w:val="en-GB" w:eastAsia="en-US"/>
        </w:rPr>
      </w:pPr>
    </w:p>
    <w:p w14:paraId="6B5A0AD9" w14:textId="02580C86" w:rsidR="00602E99" w:rsidRPr="00602E99" w:rsidRDefault="00602E99" w:rsidP="00602E99">
      <w:pPr>
        <w:rPr>
          <w:b/>
          <w:bCs/>
          <w:sz w:val="20"/>
          <w:szCs w:val="20"/>
          <w:highlight w:val="green"/>
          <w:lang w:val="en-CA" w:eastAsia="x-none"/>
        </w:rPr>
      </w:pPr>
      <w:r w:rsidRPr="00602E99">
        <w:rPr>
          <w:b/>
          <w:bCs/>
          <w:sz w:val="20"/>
          <w:szCs w:val="20"/>
          <w:highlight w:val="green"/>
          <w:lang w:val="en-CA" w:eastAsia="x-none"/>
        </w:rPr>
        <w:t>Agreement</w:t>
      </w:r>
    </w:p>
    <w:p w14:paraId="785F0743" w14:textId="06783FF3" w:rsidR="00602E99" w:rsidRPr="00602E99" w:rsidRDefault="00602E99" w:rsidP="00602E99">
      <w:pPr>
        <w:rPr>
          <w:sz w:val="20"/>
          <w:szCs w:val="20"/>
        </w:rPr>
      </w:pPr>
      <w:r w:rsidRPr="00602E99">
        <w:rPr>
          <w:sz w:val="20"/>
          <w:szCs w:val="20"/>
        </w:rPr>
        <w:t>For multi-DCI based STxMP PUSCH+PUSCH, study enhancements of the UCI multiplexing rule to address the case that one PUCCH overlaps with two overlapped PUSCHs of STxMP PUSCH+PUSCH</w:t>
      </w:r>
      <w:r>
        <w:rPr>
          <w:sz w:val="20"/>
          <w:szCs w:val="20"/>
        </w:rPr>
        <w:t>.</w:t>
      </w:r>
    </w:p>
    <w:p w14:paraId="41F694A6" w14:textId="77777777" w:rsidR="00602E99" w:rsidRDefault="00602E99" w:rsidP="00647F7D">
      <w:pPr>
        <w:jc w:val="both"/>
        <w:rPr>
          <w:rFonts w:cs="Batang"/>
          <w:sz w:val="20"/>
          <w:szCs w:val="20"/>
          <w:lang w:val="en-GB" w:eastAsia="en-US"/>
        </w:rPr>
      </w:pPr>
    </w:p>
    <w:p w14:paraId="4B48A589" w14:textId="419FF0CA" w:rsidR="00602E99" w:rsidRDefault="00602E99" w:rsidP="00647F7D">
      <w:pPr>
        <w:jc w:val="both"/>
        <w:rPr>
          <w:rFonts w:cs="Batang"/>
          <w:sz w:val="20"/>
          <w:szCs w:val="20"/>
          <w:lang w:val="en-GB" w:eastAsia="en-US"/>
        </w:rPr>
      </w:pPr>
      <w:r>
        <w:rPr>
          <w:rFonts w:cs="Batang"/>
          <w:sz w:val="20"/>
          <w:szCs w:val="20"/>
          <w:lang w:val="en-GB" w:eastAsia="en-US"/>
        </w:rPr>
        <w:t xml:space="preserve">In our view, current specification can be adopted for UCI multiplexing, although it shall be per panel. That is UCI in PUCCH is only multiplexed over one of the two overlapping PUSCHs, when PUCCH overlaps with that PUSCH, and timeline conditions for UCI multiplexing based on current specification is met. </w:t>
      </w:r>
      <w:r w:rsidR="008E5476">
        <w:rPr>
          <w:rFonts w:cs="Batang"/>
          <w:sz w:val="20"/>
          <w:szCs w:val="20"/>
          <w:lang w:val="en-GB" w:eastAsia="en-US"/>
        </w:rPr>
        <w:t>Thus,</w:t>
      </w:r>
      <w:r>
        <w:rPr>
          <w:rFonts w:cs="Batang"/>
          <w:sz w:val="20"/>
          <w:szCs w:val="20"/>
          <w:lang w:val="en-GB" w:eastAsia="en-US"/>
        </w:rPr>
        <w:t xml:space="preserve"> the question to address is how to associate </w:t>
      </w:r>
      <w:r w:rsidR="006049AA">
        <w:rPr>
          <w:rFonts w:cs="Batang"/>
          <w:sz w:val="20"/>
          <w:szCs w:val="20"/>
          <w:lang w:val="en-GB" w:eastAsia="en-US"/>
        </w:rPr>
        <w:t>a PUCCH to one of the two panels. One simple solution is PUCCH is always mapped to the first panel</w:t>
      </w:r>
      <w:r w:rsidR="00FF5067">
        <w:rPr>
          <w:rFonts w:cs="Batang"/>
          <w:sz w:val="20"/>
          <w:szCs w:val="20"/>
          <w:lang w:val="en-GB" w:eastAsia="en-US"/>
        </w:rPr>
        <w:t xml:space="preserve">. Alternatively, a new RRC parameter can be defined for each PUCCH resource configuration which indicates 1-1 mapping between PUCCH and SRS resource set. </w:t>
      </w:r>
      <w:proofErr w:type="gramStart"/>
      <w:r w:rsidR="00FF5067">
        <w:rPr>
          <w:rFonts w:cs="Batang"/>
          <w:sz w:val="20"/>
          <w:szCs w:val="20"/>
          <w:lang w:val="en-GB" w:eastAsia="en-US"/>
        </w:rPr>
        <w:t>Additionally</w:t>
      </w:r>
      <w:proofErr w:type="gramEnd"/>
      <w:r w:rsidR="00FF5067">
        <w:rPr>
          <w:rFonts w:cs="Batang"/>
          <w:sz w:val="20"/>
          <w:szCs w:val="20"/>
          <w:lang w:val="en-GB" w:eastAsia="en-US"/>
        </w:rPr>
        <w:t xml:space="preserve"> or alternatively, if PUCCH resource is associated with a DCI, the corresponding </w:t>
      </w:r>
      <w:r w:rsidR="00FF5067" w:rsidRPr="00FF5067">
        <w:rPr>
          <w:i/>
          <w:sz w:val="20"/>
          <w:szCs w:val="20"/>
        </w:rPr>
        <w:t>coresetPoolIndex</w:t>
      </w:r>
      <w:r w:rsidR="00FF5067" w:rsidRPr="00FF5067">
        <w:rPr>
          <w:sz w:val="20"/>
          <w:szCs w:val="20"/>
        </w:rPr>
        <w:t xml:space="preserve"> in </w:t>
      </w:r>
      <w:r w:rsidR="00FF5067" w:rsidRPr="00FF5067">
        <w:rPr>
          <w:i/>
          <w:sz w:val="20"/>
          <w:szCs w:val="20"/>
        </w:rPr>
        <w:t>ControlResourceSet</w:t>
      </w:r>
      <w:r w:rsidR="00FF5067">
        <w:rPr>
          <w:rFonts w:cs="Batang"/>
          <w:sz w:val="20"/>
          <w:szCs w:val="20"/>
          <w:lang w:val="en-GB" w:eastAsia="en-US"/>
        </w:rPr>
        <w:t xml:space="preserve"> is used to indicate 1-1 mapping between PUCCH and UE’s panel (or SRS resource set). </w:t>
      </w:r>
    </w:p>
    <w:p w14:paraId="0C0AB5C4" w14:textId="77777777" w:rsidR="00992C57" w:rsidRDefault="00992C57" w:rsidP="00647F7D">
      <w:pPr>
        <w:jc w:val="both"/>
        <w:rPr>
          <w:rFonts w:cs="Batang"/>
          <w:sz w:val="20"/>
          <w:szCs w:val="20"/>
          <w:lang w:val="en-GB" w:eastAsia="en-US"/>
        </w:rPr>
      </w:pPr>
    </w:p>
    <w:p w14:paraId="30D73B06" w14:textId="3C69A318" w:rsidR="00FF5067" w:rsidRPr="00647F7D" w:rsidRDefault="00FF5067" w:rsidP="00FF5067">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BD484D">
        <w:rPr>
          <w:rFonts w:cs="Batang"/>
          <w:b/>
          <w:bCs/>
          <w:i/>
          <w:iCs/>
          <w:sz w:val="20"/>
          <w:szCs w:val="20"/>
          <w:lang w:eastAsia="en-US"/>
        </w:rPr>
        <w:t>5</w:t>
      </w:r>
      <w:r w:rsidRPr="00647F7D">
        <w:rPr>
          <w:rFonts w:cs="Batang"/>
          <w:b/>
          <w:bCs/>
          <w:i/>
          <w:iCs/>
          <w:sz w:val="20"/>
          <w:szCs w:val="20"/>
          <w:lang w:eastAsia="en-US"/>
        </w:rPr>
        <w:t xml:space="preserve">: </w:t>
      </w:r>
      <w:r>
        <w:rPr>
          <w:rFonts w:cs="Batang"/>
          <w:b/>
          <w:bCs/>
          <w:i/>
          <w:iCs/>
          <w:sz w:val="20"/>
          <w:szCs w:val="20"/>
          <w:lang w:val="en-GB" w:eastAsia="en-US"/>
        </w:rPr>
        <w:t>The association of PUCCH and SRS resource set can be based a new RRC parameter in PUCCH resource configuration, or for a PUCCH scheduled by a DCI</w:t>
      </w:r>
      <w:r w:rsidRPr="00FF5067">
        <w:rPr>
          <w:rFonts w:cs="Batang"/>
          <w:b/>
          <w:bCs/>
          <w:i/>
          <w:iCs/>
          <w:sz w:val="20"/>
          <w:szCs w:val="20"/>
          <w:lang w:val="en-GB" w:eastAsia="en-US"/>
        </w:rPr>
        <w:t>, the corresponding coresetPoolIndex in ControlResourceSet</w:t>
      </w:r>
      <w:r>
        <w:rPr>
          <w:rFonts w:cs="Batang"/>
          <w:b/>
          <w:bCs/>
          <w:i/>
          <w:iCs/>
          <w:sz w:val="20"/>
          <w:szCs w:val="20"/>
          <w:lang w:val="en-GB" w:eastAsia="en-US"/>
        </w:rPr>
        <w:t xml:space="preserve">. </w:t>
      </w:r>
    </w:p>
    <w:p w14:paraId="07F273DA" w14:textId="77777777" w:rsidR="00FF5067" w:rsidRDefault="00FF5067" w:rsidP="00647F7D">
      <w:pPr>
        <w:jc w:val="both"/>
        <w:rPr>
          <w:rFonts w:cs="Batang"/>
          <w:sz w:val="20"/>
          <w:szCs w:val="20"/>
          <w:lang w:val="en-GB" w:eastAsia="en-US"/>
        </w:rPr>
      </w:pPr>
    </w:p>
    <w:p w14:paraId="4176F689" w14:textId="77777777" w:rsidR="00FF5067" w:rsidRDefault="00FF5067" w:rsidP="00647F7D">
      <w:pPr>
        <w:jc w:val="both"/>
        <w:rPr>
          <w:rFonts w:cs="Batang"/>
          <w:sz w:val="20"/>
          <w:szCs w:val="20"/>
          <w:lang w:val="en-GB" w:eastAsia="en-US"/>
        </w:rPr>
      </w:pPr>
    </w:p>
    <w:p w14:paraId="18F6216B" w14:textId="3FE4A765" w:rsidR="00647F7D" w:rsidRPr="00647F7D" w:rsidRDefault="00A94416" w:rsidP="00647F7D">
      <w:pPr>
        <w:jc w:val="both"/>
        <w:rPr>
          <w:rFonts w:cs="Batang"/>
          <w:sz w:val="20"/>
          <w:szCs w:val="20"/>
          <w:lang w:val="en-GB" w:eastAsia="en-US"/>
        </w:rPr>
      </w:pPr>
      <w:r>
        <w:rPr>
          <w:rFonts w:cs="Batang"/>
          <w:sz w:val="20"/>
          <w:szCs w:val="20"/>
          <w:lang w:val="en-GB" w:eastAsia="en-US"/>
        </w:rPr>
        <w:t xml:space="preserve">In current specification, </w:t>
      </w:r>
      <w:r w:rsidRPr="00A94416">
        <w:rPr>
          <w:rFonts w:cs="Batang"/>
          <w:sz w:val="20"/>
          <w:szCs w:val="20"/>
          <w:lang w:val="en-GB" w:eastAsia="en-US"/>
        </w:rPr>
        <w:t xml:space="preserve">TDAI bit-field in </w:t>
      </w:r>
      <w:r>
        <w:rPr>
          <w:rFonts w:cs="Batang"/>
          <w:sz w:val="20"/>
          <w:szCs w:val="20"/>
          <w:lang w:val="en-GB" w:eastAsia="en-US"/>
        </w:rPr>
        <w:t xml:space="preserve">uplink </w:t>
      </w:r>
      <w:r w:rsidRPr="00A94416">
        <w:rPr>
          <w:rFonts w:cs="Batang"/>
          <w:sz w:val="20"/>
          <w:szCs w:val="20"/>
          <w:lang w:val="en-GB" w:eastAsia="en-US"/>
        </w:rPr>
        <w:t>DCI indicates number of HARQ-ACK bits that shall be multiplexed on PUSCH</w:t>
      </w:r>
      <w:r>
        <w:rPr>
          <w:rFonts w:cs="Batang"/>
          <w:sz w:val="20"/>
          <w:szCs w:val="20"/>
          <w:lang w:val="en-GB" w:eastAsia="en-US"/>
        </w:rPr>
        <w:t xml:space="preserve">. More precisely, </w:t>
      </w:r>
      <w:r w:rsidRPr="00A94416">
        <w:rPr>
          <w:rFonts w:cs="Batang"/>
          <w:sz w:val="20"/>
          <w:szCs w:val="20"/>
          <w:lang w:val="en-GB" w:eastAsia="en-US"/>
        </w:rPr>
        <w:t>when there is overlapping PUSCHs and PUCCH, up to one PUSCH will be selected for HARQ-ACK multiplexing</w:t>
      </w:r>
      <w:r>
        <w:rPr>
          <w:rFonts w:cs="Batang"/>
          <w:sz w:val="20"/>
          <w:szCs w:val="20"/>
          <w:lang w:val="en-GB" w:eastAsia="en-US"/>
        </w:rPr>
        <w:t xml:space="preserve">, where no overlapping PUSCHs within the same carrier with the same priority index, is expected. Now in Rel-18,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Pr>
          <w:rFonts w:cs="Batang"/>
          <w:sz w:val="20"/>
          <w:szCs w:val="20"/>
          <w:lang w:val="en-GB" w:eastAsia="en-US"/>
        </w:rPr>
        <w:t xml:space="preserve">, </w:t>
      </w:r>
      <w:r w:rsidR="009232EC">
        <w:rPr>
          <w:rFonts w:cs="Batang"/>
          <w:sz w:val="20"/>
          <w:szCs w:val="20"/>
          <w:lang w:val="en-GB" w:eastAsia="en-US"/>
        </w:rPr>
        <w:t>when</w:t>
      </w:r>
      <w:r w:rsidRPr="00A94416">
        <w:rPr>
          <w:rFonts w:cs="Batang"/>
          <w:sz w:val="20"/>
          <w:szCs w:val="20"/>
          <w:lang w:val="en-GB" w:eastAsia="en-US"/>
        </w:rPr>
        <w:t xml:space="preserve"> UE is scheduled with fully or partially overlapping PUSCHs in the time and frequency domain by multiple PDCCHs</w:t>
      </w:r>
      <w:r>
        <w:rPr>
          <w:rFonts w:cs="Batang"/>
          <w:sz w:val="20"/>
          <w:szCs w:val="20"/>
          <w:lang w:val="en-GB" w:eastAsia="en-US"/>
        </w:rPr>
        <w:t xml:space="preserve"> with</w:t>
      </w:r>
      <w:r w:rsidRPr="00A94416">
        <w:rPr>
          <w:rFonts w:cs="Batang"/>
          <w:sz w:val="20"/>
          <w:szCs w:val="20"/>
          <w:lang w:val="en-GB" w:eastAsia="en-US"/>
        </w:rPr>
        <w:t xml:space="preserve"> two different values of </w:t>
      </w:r>
      <w:r w:rsidRPr="00A94416">
        <w:rPr>
          <w:rFonts w:cs="Batang"/>
          <w:i/>
          <w:iCs/>
          <w:sz w:val="20"/>
          <w:szCs w:val="20"/>
          <w:lang w:val="en-GB" w:eastAsia="en-US"/>
        </w:rPr>
        <w:t>coresetPoolIndex</w:t>
      </w:r>
      <w:r w:rsidRPr="00A94416">
        <w:rPr>
          <w:rFonts w:cs="Batang"/>
          <w:sz w:val="20"/>
          <w:szCs w:val="20"/>
          <w:lang w:val="en-GB" w:eastAsia="en-US"/>
        </w:rPr>
        <w:t xml:space="preserve">, TDAI indication </w:t>
      </w:r>
      <w:r>
        <w:rPr>
          <w:rFonts w:cs="Batang"/>
          <w:sz w:val="20"/>
          <w:szCs w:val="20"/>
          <w:lang w:val="en-GB" w:eastAsia="en-US"/>
        </w:rPr>
        <w:t>should be</w:t>
      </w:r>
      <w:r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each PUSCH independently, unlike current spec which only one PUSCH with UL-TDAI not equal to 4 carries HARQ-ACK</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w:t>
      </w:r>
      <w:proofErr w:type="gramStart"/>
      <w:r>
        <w:rPr>
          <w:b/>
          <w:bCs/>
          <w:lang w:val="en-US" w:eastAsia="zh-CN"/>
        </w:rPr>
        <w:t>STxMP</w:t>
      </w:r>
      <w:proofErr w:type="gramEnd"/>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7FE77FB5" w14:textId="67B4C29F" w:rsidR="00C86403" w:rsidRPr="005D3E89" w:rsidRDefault="00647F7D" w:rsidP="005D3E89">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BD484D">
        <w:rPr>
          <w:rFonts w:cs="Batang"/>
          <w:b/>
          <w:bCs/>
          <w:i/>
          <w:iCs/>
          <w:sz w:val="20"/>
          <w:szCs w:val="20"/>
          <w:lang w:eastAsia="en-US"/>
        </w:rPr>
        <w:t>6</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009232EC"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sidR="009232EC">
        <w:rPr>
          <w:rFonts w:cs="Batang"/>
          <w:b/>
          <w:bCs/>
          <w:i/>
          <w:iCs/>
          <w:sz w:val="20"/>
          <w:szCs w:val="20"/>
          <w:lang w:val="en-GB" w:eastAsia="en-US"/>
        </w:rPr>
        <w:t>.</w:t>
      </w: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2C7FF69F"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409D136B" w14:textId="77777777" w:rsidR="00BD484D" w:rsidRPr="00767A07" w:rsidRDefault="00BD484D" w:rsidP="00BD484D">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DA1BAF">
        <w:rPr>
          <w:b/>
          <w:bCs/>
          <w:i/>
          <w:iCs/>
        </w:rPr>
        <w:t xml:space="preserve">: </w:t>
      </w:r>
      <w:r>
        <w:rPr>
          <w:b/>
          <w:bCs/>
          <w:i/>
          <w:iCs/>
        </w:rPr>
        <w:t xml:space="preserve">Do not support </w:t>
      </w:r>
      <w:r w:rsidRPr="00155F81">
        <w:rPr>
          <w:b/>
          <w:bCs/>
          <w:i/>
          <w:iCs/>
          <w:lang w:val="en-CA"/>
        </w:rPr>
        <w:t xml:space="preserve">the </w:t>
      </w:r>
      <w:r>
        <w:rPr>
          <w:b/>
          <w:bCs/>
          <w:i/>
          <w:iCs/>
          <w:lang w:val="en-CA"/>
        </w:rPr>
        <w:t xml:space="preserve">limitation to keep </w:t>
      </w:r>
      <w:r w:rsidRPr="00155F81">
        <w:rPr>
          <w:b/>
          <w:bCs/>
          <w:i/>
          <w:iCs/>
          <w:lang w:val="en-CA"/>
        </w:rPr>
        <w:t>total number of used PUSCH antenna ports for the SDM and sTRP</w:t>
      </w:r>
      <w:r>
        <w:rPr>
          <w:b/>
          <w:bCs/>
          <w:i/>
          <w:iCs/>
          <w:lang w:val="en-CA"/>
        </w:rPr>
        <w:t xml:space="preserve"> to be the same.</w:t>
      </w:r>
    </w:p>
    <w:p w14:paraId="42620105" w14:textId="77777777" w:rsidR="00BD484D" w:rsidRPr="003277F3" w:rsidRDefault="00BD484D" w:rsidP="00BD484D">
      <w:pPr>
        <w:jc w:val="both"/>
        <w:rPr>
          <w:rFonts w:cs="Batang"/>
          <w:sz w:val="20"/>
          <w:szCs w:val="20"/>
        </w:rPr>
      </w:pPr>
    </w:p>
    <w:p w14:paraId="44CDE45F" w14:textId="77777777" w:rsidR="00BD484D" w:rsidRPr="003277F3" w:rsidRDefault="00BD484D" w:rsidP="00BD484D">
      <w:pPr>
        <w:pStyle w:val="0Maintext"/>
        <w:spacing w:after="0" w:afterAutospacing="0" w:line="240" w:lineRule="auto"/>
        <w:ind w:firstLine="0"/>
        <w:rPr>
          <w:b/>
          <w:bCs/>
          <w:i/>
          <w:iCs/>
        </w:rPr>
      </w:pPr>
      <w:r w:rsidRPr="003277F3">
        <w:rPr>
          <w:b/>
          <w:bCs/>
          <w:i/>
          <w:iCs/>
          <w:lang w:val="en-US" w:eastAsia="zh-CN"/>
        </w:rPr>
        <w:t>Proposal 2</w:t>
      </w:r>
      <w:r w:rsidRPr="003277F3">
        <w:rPr>
          <w:b/>
          <w:bCs/>
          <w:i/>
          <w:iCs/>
        </w:rPr>
        <w:t>: Number of PTRS ports for SDM is fixed to two, if UE is configured with PTRS-UplinkConfig</w:t>
      </w:r>
      <w:r>
        <w:rPr>
          <w:b/>
          <w:bCs/>
          <w:i/>
          <w:iCs/>
          <w:lang w:val="en-CA"/>
        </w:rPr>
        <w:t xml:space="preserve">, so no separate RRC indication is needed for SDM number of PTRS </w:t>
      </w:r>
      <w:proofErr w:type="gramStart"/>
      <w:r>
        <w:rPr>
          <w:b/>
          <w:bCs/>
          <w:i/>
          <w:iCs/>
          <w:lang w:val="en-CA"/>
        </w:rPr>
        <w:t>ports</w:t>
      </w:r>
      <w:proofErr w:type="gramEnd"/>
      <w:r>
        <w:rPr>
          <w:b/>
          <w:bCs/>
          <w:i/>
          <w:iCs/>
          <w:lang w:val="en-CA"/>
        </w:rPr>
        <w:t xml:space="preserve"> </w:t>
      </w:r>
    </w:p>
    <w:p w14:paraId="71D978F6" w14:textId="77777777" w:rsidR="00BD484D" w:rsidRDefault="00BD484D" w:rsidP="00BD484D">
      <w:pPr>
        <w:jc w:val="both"/>
        <w:rPr>
          <w:rFonts w:cs="Batang"/>
          <w:szCs w:val="20"/>
        </w:rPr>
      </w:pPr>
    </w:p>
    <w:p w14:paraId="3AE40642" w14:textId="2AA88D32" w:rsidR="00BD484D" w:rsidRPr="00BD484D" w:rsidRDefault="00BD484D" w:rsidP="00BD484D">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58D0F4A8" w14:textId="77777777" w:rsidR="00BD484D" w:rsidRPr="00203EB5" w:rsidRDefault="00BD484D" w:rsidP="00BD484D">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4</w:t>
      </w:r>
      <w:r w:rsidRPr="00E96C6C">
        <w:rPr>
          <w:b/>
          <w:bCs/>
          <w:i/>
          <w:iCs/>
          <w:lang w:val="en-US" w:eastAsia="zh-CN"/>
        </w:rPr>
        <w:t>:</w:t>
      </w:r>
      <w:r>
        <w:rPr>
          <w:b/>
          <w:bCs/>
          <w:i/>
          <w:iCs/>
          <w:lang w:val="en-US" w:eastAsia="zh-CN"/>
        </w:rPr>
        <w:t xml:space="preserve"> </w:t>
      </w:r>
      <w:r w:rsidRPr="00203EB5">
        <w:rPr>
          <w:b/>
          <w:bCs/>
          <w:i/>
          <w:iCs/>
          <w:lang w:val="en-US"/>
        </w:rPr>
        <w:t>For mTRP based STxMP with PUSCH+PUSCH, if UE is configured with</w:t>
      </w:r>
      <w:r>
        <w:rPr>
          <w:b/>
          <w:bCs/>
          <w:i/>
          <w:iCs/>
          <w:lang w:val="en-US"/>
        </w:rPr>
        <w:t xml:space="preserve"> a</w:t>
      </w:r>
      <w:r w:rsidRPr="00203EB5">
        <w:rPr>
          <w:b/>
          <w:bCs/>
          <w:i/>
          <w:iCs/>
          <w:lang w:val="en-US"/>
        </w:rPr>
        <w:t xml:space="preserve"> total power constraint </w:t>
      </w:r>
      <w:proofErr w:type="gramStart"/>
      <w:r w:rsidRPr="00203EB5">
        <w:rPr>
          <w:b/>
          <w:bCs/>
          <w:i/>
          <w:iCs/>
          <w:lang w:val="en-US"/>
        </w:rPr>
        <w:t>P</w:t>
      </w:r>
      <w:r w:rsidRPr="00203EB5">
        <w:rPr>
          <w:b/>
          <w:bCs/>
          <w:i/>
          <w:iCs/>
          <w:vertAlign w:val="subscript"/>
          <w:lang w:val="en-US"/>
        </w:rPr>
        <w:t>CM</w:t>
      </w:r>
      <w:r>
        <w:rPr>
          <w:b/>
          <w:bCs/>
          <w:i/>
          <w:iCs/>
          <w:vertAlign w:val="subscript"/>
          <w:lang w:val="en-US"/>
        </w:rPr>
        <w:t>AX</w:t>
      </w:r>
      <w:r w:rsidRPr="00203EB5">
        <w:rPr>
          <w:b/>
          <w:bCs/>
          <w:i/>
          <w:iCs/>
          <w:vertAlign w:val="subscript"/>
          <w:lang w:val="en-US"/>
        </w:rPr>
        <w:t>,f</w:t>
      </w:r>
      <w:proofErr w:type="gramEnd"/>
      <w:r w:rsidRPr="00203EB5">
        <w:rPr>
          <w:b/>
          <w:bCs/>
          <w:i/>
          <w:iCs/>
          <w:vertAlign w:val="subscript"/>
          <w:lang w:val="en-US"/>
        </w:rPr>
        <w:t>,c</w:t>
      </w:r>
      <w:r w:rsidRPr="00203EB5">
        <w:rPr>
          <w:b/>
          <w:bCs/>
          <w:i/>
          <w:iCs/>
          <w:lang w:val="en-US"/>
        </w:rPr>
        <w:t xml:space="preserve"> across both panels for STxMP operation</w:t>
      </w:r>
      <w:r>
        <w:rPr>
          <w:b/>
          <w:bCs/>
          <w:i/>
          <w:iCs/>
          <w:lang w:val="en-US"/>
        </w:rPr>
        <w:t xml:space="preserve">, if </w:t>
      </w:r>
      <w:r w:rsidRPr="00203EB5">
        <w:rPr>
          <w:b/>
          <w:bCs/>
          <w:i/>
          <w:iCs/>
          <w:lang w:val="en-US"/>
        </w:rPr>
        <w:t xml:space="preserve">PUSCH transmission power for each PUSCH, i.e. P1 and P2, is </w:t>
      </w:r>
      <w:r>
        <w:rPr>
          <w:b/>
          <w:bCs/>
          <w:i/>
          <w:iCs/>
          <w:lang w:val="en-US"/>
        </w:rPr>
        <w:t>such that</w:t>
      </w:r>
      <w:r>
        <w:rPr>
          <w:b/>
          <w:bCs/>
          <w:i/>
          <w:iCs/>
        </w:rPr>
        <w:t xml:space="preserve"> </w:t>
      </w:r>
      <w:r w:rsidRPr="00203EB5">
        <w:rPr>
          <w:b/>
          <w:bCs/>
          <w:i/>
          <w:iCs/>
          <w:lang w:val="en-US"/>
        </w:rPr>
        <w:t>P1 + P2&gt; P</w:t>
      </w:r>
      <w:r w:rsidRPr="00203EB5">
        <w:rPr>
          <w:b/>
          <w:bCs/>
          <w:i/>
          <w:iCs/>
          <w:vertAlign w:val="subscript"/>
          <w:lang w:val="en-US"/>
        </w:rPr>
        <w:t>CM</w:t>
      </w:r>
      <w:r>
        <w:rPr>
          <w:b/>
          <w:bCs/>
          <w:i/>
          <w:iCs/>
          <w:vertAlign w:val="subscript"/>
          <w:lang w:val="en-US"/>
        </w:rPr>
        <w:t>AX</w:t>
      </w:r>
      <w:r w:rsidRPr="00203EB5">
        <w:rPr>
          <w:b/>
          <w:bCs/>
          <w:i/>
          <w:iCs/>
          <w:vertAlign w:val="subscript"/>
          <w:lang w:val="en-US"/>
        </w:rPr>
        <w:t>,f,c</w:t>
      </w:r>
      <w:r w:rsidRPr="00203EB5">
        <w:rPr>
          <w:b/>
          <w:bCs/>
          <w:i/>
          <w:iCs/>
          <w:lang w:val="en-US"/>
        </w:rPr>
        <w:t xml:space="preserve">, prioritization for transmission power reduction </w:t>
      </w:r>
      <w:r>
        <w:rPr>
          <w:b/>
          <w:bCs/>
          <w:i/>
          <w:iCs/>
          <w:lang w:val="en-US"/>
        </w:rPr>
        <w:t>shall</w:t>
      </w:r>
      <w:r w:rsidRPr="00203EB5">
        <w:rPr>
          <w:b/>
          <w:bCs/>
          <w:i/>
          <w:iCs/>
          <w:lang w:val="en-US"/>
        </w:rPr>
        <w:t xml:space="preserve"> be applied</w:t>
      </w:r>
      <w:r>
        <w:rPr>
          <w:b/>
          <w:bCs/>
          <w:i/>
          <w:iCs/>
          <w:lang w:val="en-US"/>
        </w:rPr>
        <w:t xml:space="preserve">, </w:t>
      </w:r>
      <w:r w:rsidRPr="00203EB5">
        <w:rPr>
          <w:b/>
          <w:bCs/>
          <w:i/>
          <w:iCs/>
          <w:lang w:val="en-US"/>
        </w:rPr>
        <w:t xml:space="preserve">where </w:t>
      </w:r>
      <w:r>
        <w:rPr>
          <w:b/>
          <w:bCs/>
          <w:i/>
          <w:iCs/>
          <w:lang w:val="en-US"/>
        </w:rPr>
        <w:t xml:space="preserve">the </w:t>
      </w:r>
      <w:r w:rsidRPr="00203EB5">
        <w:rPr>
          <w:b/>
          <w:bCs/>
          <w:i/>
          <w:iCs/>
          <w:lang w:val="en-US"/>
        </w:rPr>
        <w:t xml:space="preserve">low priority PUSCH </w:t>
      </w:r>
      <w:r>
        <w:rPr>
          <w:b/>
          <w:bCs/>
          <w:i/>
          <w:iCs/>
          <w:lang w:val="en-US"/>
        </w:rPr>
        <w:t>is dropped.</w:t>
      </w:r>
    </w:p>
    <w:p w14:paraId="2DD1A932" w14:textId="77777777" w:rsidR="00BD484D" w:rsidRDefault="00BD484D" w:rsidP="00BD484D">
      <w:pPr>
        <w:jc w:val="both"/>
        <w:rPr>
          <w:rFonts w:cs="Batang"/>
          <w:sz w:val="20"/>
          <w:szCs w:val="20"/>
          <w:lang w:val="en-GB" w:eastAsia="en-US"/>
        </w:rPr>
      </w:pPr>
    </w:p>
    <w:p w14:paraId="2FB0A0DF" w14:textId="0BC89ACB" w:rsidR="00BD484D" w:rsidRDefault="00BD484D" w:rsidP="00BD484D">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5</w:t>
      </w:r>
      <w:r w:rsidRPr="00647F7D">
        <w:rPr>
          <w:rFonts w:cs="Batang"/>
          <w:b/>
          <w:bCs/>
          <w:i/>
          <w:iCs/>
          <w:sz w:val="20"/>
          <w:szCs w:val="20"/>
          <w:lang w:eastAsia="en-US"/>
        </w:rPr>
        <w:t xml:space="preserve">: </w:t>
      </w:r>
      <w:r>
        <w:rPr>
          <w:rFonts w:cs="Batang"/>
          <w:b/>
          <w:bCs/>
          <w:i/>
          <w:iCs/>
          <w:sz w:val="20"/>
          <w:szCs w:val="20"/>
          <w:lang w:val="en-GB" w:eastAsia="en-US"/>
        </w:rPr>
        <w:t>The association of PUCCH and SRS resource set can be based a new RRC parameter in PUCCH resource configuration, or for a PUCCH scheduled by a DCI</w:t>
      </w:r>
      <w:r w:rsidRPr="00FF5067">
        <w:rPr>
          <w:rFonts w:cs="Batang"/>
          <w:b/>
          <w:bCs/>
          <w:i/>
          <w:iCs/>
          <w:sz w:val="20"/>
          <w:szCs w:val="20"/>
          <w:lang w:val="en-GB" w:eastAsia="en-US"/>
        </w:rPr>
        <w:t>, the corresponding coresetPoolIndex in ControlResourceSet</w:t>
      </w:r>
      <w:r>
        <w:rPr>
          <w:rFonts w:cs="Batang"/>
          <w:b/>
          <w:bCs/>
          <w:i/>
          <w:iCs/>
          <w:sz w:val="20"/>
          <w:szCs w:val="20"/>
          <w:lang w:val="en-GB" w:eastAsia="en-US"/>
        </w:rPr>
        <w:t xml:space="preserve">. </w:t>
      </w:r>
    </w:p>
    <w:p w14:paraId="4E479193" w14:textId="77777777" w:rsidR="00BD484D" w:rsidRPr="00BD484D" w:rsidRDefault="00BD484D" w:rsidP="00BD484D">
      <w:pPr>
        <w:tabs>
          <w:tab w:val="left" w:pos="640"/>
        </w:tabs>
        <w:jc w:val="both"/>
        <w:rPr>
          <w:rFonts w:cs="Batang"/>
          <w:sz w:val="20"/>
          <w:szCs w:val="20"/>
          <w:lang w:eastAsia="en-US"/>
        </w:rPr>
      </w:pPr>
    </w:p>
    <w:p w14:paraId="26184F46" w14:textId="77777777" w:rsidR="00BD484D" w:rsidRPr="005D3E89" w:rsidRDefault="00BD484D" w:rsidP="00BD484D">
      <w:pPr>
        <w:tabs>
          <w:tab w:val="left" w:pos="640"/>
        </w:tabs>
        <w:jc w:val="both"/>
        <w:rPr>
          <w:rFonts w:cs="Batang"/>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6</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Pr>
          <w:rFonts w:cs="Batang"/>
          <w:b/>
          <w:bCs/>
          <w:i/>
          <w:iCs/>
          <w:sz w:val="20"/>
          <w:szCs w:val="20"/>
          <w:lang w:val="en-GB" w:eastAsia="en-US"/>
        </w:rPr>
        <w:t>.</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371135C3" w14:textId="73BCCF7A" w:rsidR="00A14D2A" w:rsidRPr="00370876" w:rsidRDefault="00A14D2A" w:rsidP="00370876">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946AE56" w:rsidR="00A14D2A" w:rsidRPr="00A14D2A" w:rsidRDefault="00A14D2A" w:rsidP="00A14D2A"/>
    <w:sectPr w:rsidR="00A14D2A" w:rsidRPr="00A14D2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3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8"/>
  </w:num>
  <w:num w:numId="5" w16cid:durableId="559053736">
    <w:abstractNumId w:val="13"/>
  </w:num>
  <w:num w:numId="6" w16cid:durableId="1855418263">
    <w:abstractNumId w:val="4"/>
  </w:num>
  <w:num w:numId="7" w16cid:durableId="1158962368">
    <w:abstractNumId w:val="6"/>
  </w:num>
  <w:num w:numId="8" w16cid:durableId="124978665">
    <w:abstractNumId w:val="28"/>
  </w:num>
  <w:num w:numId="9" w16cid:durableId="1560631235">
    <w:abstractNumId w:val="4"/>
  </w:num>
  <w:num w:numId="10" w16cid:durableId="1957518174">
    <w:abstractNumId w:val="27"/>
  </w:num>
  <w:num w:numId="11" w16cid:durableId="148325099">
    <w:abstractNumId w:val="35"/>
  </w:num>
  <w:num w:numId="12" w16cid:durableId="1367829081">
    <w:abstractNumId w:val="4"/>
  </w:num>
  <w:num w:numId="13" w16cid:durableId="1458793434">
    <w:abstractNumId w:val="22"/>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6"/>
  </w:num>
  <w:num w:numId="19" w16cid:durableId="1755737952">
    <w:abstractNumId w:val="9"/>
  </w:num>
  <w:num w:numId="20" w16cid:durableId="700521599">
    <w:abstractNumId w:val="26"/>
  </w:num>
  <w:num w:numId="21" w16cid:durableId="2035374549">
    <w:abstractNumId w:val="10"/>
  </w:num>
  <w:num w:numId="22" w16cid:durableId="1385983104">
    <w:abstractNumId w:val="21"/>
  </w:num>
  <w:num w:numId="23" w16cid:durableId="2111394000">
    <w:abstractNumId w:val="8"/>
  </w:num>
  <w:num w:numId="24" w16cid:durableId="904952020">
    <w:abstractNumId w:val="20"/>
  </w:num>
  <w:num w:numId="25" w16cid:durableId="228393210">
    <w:abstractNumId w:val="15"/>
  </w:num>
  <w:num w:numId="26" w16cid:durableId="1508012121">
    <w:abstractNumId w:val="25"/>
  </w:num>
  <w:num w:numId="27" w16cid:durableId="1100099850">
    <w:abstractNumId w:val="2"/>
  </w:num>
  <w:num w:numId="28" w16cid:durableId="1474060407">
    <w:abstractNumId w:val="29"/>
  </w:num>
  <w:num w:numId="29" w16cid:durableId="557320135">
    <w:abstractNumId w:val="37"/>
  </w:num>
  <w:num w:numId="30" w16cid:durableId="774524779">
    <w:abstractNumId w:val="33"/>
  </w:num>
  <w:num w:numId="31" w16cid:durableId="1303388064">
    <w:abstractNumId w:val="5"/>
  </w:num>
  <w:num w:numId="32" w16cid:durableId="2106264989">
    <w:abstractNumId w:val="34"/>
  </w:num>
  <w:num w:numId="33" w16cid:durableId="14965687">
    <w:abstractNumId w:val="32"/>
  </w:num>
  <w:num w:numId="34" w16cid:durableId="792139529">
    <w:abstractNumId w:val="11"/>
  </w:num>
  <w:num w:numId="35" w16cid:durableId="1352029675">
    <w:abstractNumId w:val="23"/>
  </w:num>
  <w:num w:numId="36" w16cid:durableId="107086666">
    <w:abstractNumId w:val="30"/>
  </w:num>
  <w:num w:numId="37" w16cid:durableId="674117945">
    <w:abstractNumId w:val="3"/>
  </w:num>
  <w:num w:numId="38" w16cid:durableId="1174614123">
    <w:abstractNumId w:val="17"/>
  </w:num>
  <w:num w:numId="39" w16cid:durableId="1518932891">
    <w:abstractNumId w:val="36"/>
  </w:num>
  <w:num w:numId="40" w16cid:durableId="872035900">
    <w:abstractNumId w:val="19"/>
  </w:num>
  <w:num w:numId="41" w16cid:durableId="16228027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30A25"/>
    <w:rsid w:val="0013108B"/>
    <w:rsid w:val="00134A16"/>
    <w:rsid w:val="00134CE7"/>
    <w:rsid w:val="00140849"/>
    <w:rsid w:val="0014756C"/>
    <w:rsid w:val="001511AC"/>
    <w:rsid w:val="00151930"/>
    <w:rsid w:val="00151B45"/>
    <w:rsid w:val="00153773"/>
    <w:rsid w:val="0015382F"/>
    <w:rsid w:val="00155F81"/>
    <w:rsid w:val="00161E92"/>
    <w:rsid w:val="00162C20"/>
    <w:rsid w:val="001655D0"/>
    <w:rsid w:val="00167B10"/>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5CA3"/>
    <w:rsid w:val="00266E0F"/>
    <w:rsid w:val="002672E4"/>
    <w:rsid w:val="00270C5A"/>
    <w:rsid w:val="0027181A"/>
    <w:rsid w:val="00272006"/>
    <w:rsid w:val="00274F27"/>
    <w:rsid w:val="00280726"/>
    <w:rsid w:val="002814E7"/>
    <w:rsid w:val="00284AB0"/>
    <w:rsid w:val="00285B13"/>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242B"/>
    <w:rsid w:val="00336BA8"/>
    <w:rsid w:val="0034417B"/>
    <w:rsid w:val="00344AE3"/>
    <w:rsid w:val="00351207"/>
    <w:rsid w:val="0035243D"/>
    <w:rsid w:val="00354CD9"/>
    <w:rsid w:val="00360734"/>
    <w:rsid w:val="00360E10"/>
    <w:rsid w:val="00361704"/>
    <w:rsid w:val="00361D33"/>
    <w:rsid w:val="00362BFD"/>
    <w:rsid w:val="00364786"/>
    <w:rsid w:val="00366F52"/>
    <w:rsid w:val="00367DFA"/>
    <w:rsid w:val="00370876"/>
    <w:rsid w:val="003771E8"/>
    <w:rsid w:val="003802E1"/>
    <w:rsid w:val="003830C6"/>
    <w:rsid w:val="0038526E"/>
    <w:rsid w:val="003856A5"/>
    <w:rsid w:val="003856D0"/>
    <w:rsid w:val="00387EB0"/>
    <w:rsid w:val="00391636"/>
    <w:rsid w:val="003944D1"/>
    <w:rsid w:val="003944FC"/>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1336F"/>
    <w:rsid w:val="00414973"/>
    <w:rsid w:val="0041645E"/>
    <w:rsid w:val="00417FC9"/>
    <w:rsid w:val="004312F7"/>
    <w:rsid w:val="004346AB"/>
    <w:rsid w:val="00434E5C"/>
    <w:rsid w:val="00440159"/>
    <w:rsid w:val="004412D6"/>
    <w:rsid w:val="0044499D"/>
    <w:rsid w:val="00446F00"/>
    <w:rsid w:val="0045001C"/>
    <w:rsid w:val="004504AA"/>
    <w:rsid w:val="004504F1"/>
    <w:rsid w:val="00451B92"/>
    <w:rsid w:val="0045482E"/>
    <w:rsid w:val="00457F5D"/>
    <w:rsid w:val="00461B15"/>
    <w:rsid w:val="00462035"/>
    <w:rsid w:val="00466F57"/>
    <w:rsid w:val="0047012E"/>
    <w:rsid w:val="004704C9"/>
    <w:rsid w:val="004722FE"/>
    <w:rsid w:val="00473F4B"/>
    <w:rsid w:val="004752EB"/>
    <w:rsid w:val="004837C5"/>
    <w:rsid w:val="00485EDE"/>
    <w:rsid w:val="004A2991"/>
    <w:rsid w:val="004A41EF"/>
    <w:rsid w:val="004A5D6B"/>
    <w:rsid w:val="004B2562"/>
    <w:rsid w:val="004B3124"/>
    <w:rsid w:val="004B368D"/>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10C62"/>
    <w:rsid w:val="00517ADD"/>
    <w:rsid w:val="00520081"/>
    <w:rsid w:val="00521183"/>
    <w:rsid w:val="00523D91"/>
    <w:rsid w:val="0052593A"/>
    <w:rsid w:val="00526C5F"/>
    <w:rsid w:val="005327E9"/>
    <w:rsid w:val="00532BAF"/>
    <w:rsid w:val="00537253"/>
    <w:rsid w:val="0053782C"/>
    <w:rsid w:val="00537D1F"/>
    <w:rsid w:val="00540863"/>
    <w:rsid w:val="00543C04"/>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5227"/>
    <w:rsid w:val="00666868"/>
    <w:rsid w:val="006700A5"/>
    <w:rsid w:val="00672A3E"/>
    <w:rsid w:val="006823E7"/>
    <w:rsid w:val="006824B2"/>
    <w:rsid w:val="00682EED"/>
    <w:rsid w:val="0068752E"/>
    <w:rsid w:val="00687A78"/>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7EAA"/>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F128C"/>
    <w:rsid w:val="007F4737"/>
    <w:rsid w:val="00800FF6"/>
    <w:rsid w:val="00802205"/>
    <w:rsid w:val="00805B0F"/>
    <w:rsid w:val="0081070A"/>
    <w:rsid w:val="00813F25"/>
    <w:rsid w:val="00815565"/>
    <w:rsid w:val="00816874"/>
    <w:rsid w:val="00816C7F"/>
    <w:rsid w:val="00820D52"/>
    <w:rsid w:val="00821C78"/>
    <w:rsid w:val="00822058"/>
    <w:rsid w:val="008251EA"/>
    <w:rsid w:val="00830BA2"/>
    <w:rsid w:val="008331B0"/>
    <w:rsid w:val="00834862"/>
    <w:rsid w:val="00836817"/>
    <w:rsid w:val="008410E3"/>
    <w:rsid w:val="0084341E"/>
    <w:rsid w:val="00846787"/>
    <w:rsid w:val="008523F1"/>
    <w:rsid w:val="008563BD"/>
    <w:rsid w:val="00856799"/>
    <w:rsid w:val="00860F75"/>
    <w:rsid w:val="008612A5"/>
    <w:rsid w:val="0086391A"/>
    <w:rsid w:val="00863D21"/>
    <w:rsid w:val="008670B0"/>
    <w:rsid w:val="00870D2D"/>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69C4"/>
    <w:rsid w:val="00916E49"/>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58CE"/>
    <w:rsid w:val="009F61D0"/>
    <w:rsid w:val="009F7682"/>
    <w:rsid w:val="009F7D2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111A"/>
    <w:rsid w:val="00C27C5E"/>
    <w:rsid w:val="00C30780"/>
    <w:rsid w:val="00C31E5B"/>
    <w:rsid w:val="00C36E32"/>
    <w:rsid w:val="00C405FD"/>
    <w:rsid w:val="00C434FF"/>
    <w:rsid w:val="00C46B5C"/>
    <w:rsid w:val="00C5338B"/>
    <w:rsid w:val="00C5663A"/>
    <w:rsid w:val="00C65264"/>
    <w:rsid w:val="00C65A03"/>
    <w:rsid w:val="00C6638D"/>
    <w:rsid w:val="00C66506"/>
    <w:rsid w:val="00C66A4A"/>
    <w:rsid w:val="00C67D91"/>
    <w:rsid w:val="00C70860"/>
    <w:rsid w:val="00C74ED4"/>
    <w:rsid w:val="00C762ED"/>
    <w:rsid w:val="00C8088E"/>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6A45"/>
    <w:rsid w:val="00CE7503"/>
    <w:rsid w:val="00CF1E92"/>
    <w:rsid w:val="00CF4C3A"/>
    <w:rsid w:val="00CF74A7"/>
    <w:rsid w:val="00D000EB"/>
    <w:rsid w:val="00D04A53"/>
    <w:rsid w:val="00D07571"/>
    <w:rsid w:val="00D079BA"/>
    <w:rsid w:val="00D07EA0"/>
    <w:rsid w:val="00D1218B"/>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40277"/>
    <w:rsid w:val="00D402CA"/>
    <w:rsid w:val="00D406E1"/>
    <w:rsid w:val="00D4456A"/>
    <w:rsid w:val="00D44909"/>
    <w:rsid w:val="00D44CB2"/>
    <w:rsid w:val="00D45E02"/>
    <w:rsid w:val="00D46443"/>
    <w:rsid w:val="00D47F37"/>
    <w:rsid w:val="00D516C8"/>
    <w:rsid w:val="00D549FB"/>
    <w:rsid w:val="00D54E04"/>
    <w:rsid w:val="00D57B8C"/>
    <w:rsid w:val="00D57E64"/>
    <w:rsid w:val="00D623A6"/>
    <w:rsid w:val="00D814FE"/>
    <w:rsid w:val="00D82BE1"/>
    <w:rsid w:val="00D83D3F"/>
    <w:rsid w:val="00D84C50"/>
    <w:rsid w:val="00D85393"/>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E0B03"/>
    <w:rsid w:val="00DF0066"/>
    <w:rsid w:val="00DF4C2B"/>
    <w:rsid w:val="00DF7952"/>
    <w:rsid w:val="00E00694"/>
    <w:rsid w:val="00E031A1"/>
    <w:rsid w:val="00E10633"/>
    <w:rsid w:val="00E11B95"/>
    <w:rsid w:val="00E11EDC"/>
    <w:rsid w:val="00E12DDA"/>
    <w:rsid w:val="00E13D41"/>
    <w:rsid w:val="00E16798"/>
    <w:rsid w:val="00E24D30"/>
    <w:rsid w:val="00E27C0E"/>
    <w:rsid w:val="00E30225"/>
    <w:rsid w:val="00E327AE"/>
    <w:rsid w:val="00E3506C"/>
    <w:rsid w:val="00E35546"/>
    <w:rsid w:val="00E4025A"/>
    <w:rsid w:val="00E41989"/>
    <w:rsid w:val="00E479E0"/>
    <w:rsid w:val="00E50BFF"/>
    <w:rsid w:val="00E55EB5"/>
    <w:rsid w:val="00E56A0E"/>
    <w:rsid w:val="00E60394"/>
    <w:rsid w:val="00E614BF"/>
    <w:rsid w:val="00E73F84"/>
    <w:rsid w:val="00E7599B"/>
    <w:rsid w:val="00E75B21"/>
    <w:rsid w:val="00E80518"/>
    <w:rsid w:val="00E83E9A"/>
    <w:rsid w:val="00E852C2"/>
    <w:rsid w:val="00E913CB"/>
    <w:rsid w:val="00E96857"/>
    <w:rsid w:val="00E96C6C"/>
    <w:rsid w:val="00EA02A2"/>
    <w:rsid w:val="00EA0E7B"/>
    <w:rsid w:val="00EA2090"/>
    <w:rsid w:val="00EA62B5"/>
    <w:rsid w:val="00EA73C1"/>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501D"/>
    <w:rsid w:val="00EF7114"/>
    <w:rsid w:val="00F01BD8"/>
    <w:rsid w:val="00F0539D"/>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5522"/>
    <w:rsid w:val="00FE6FA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EB5"/>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1565</TotalTime>
  <Pages>4</Pages>
  <Words>1907</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204</cp:revision>
  <dcterms:created xsi:type="dcterms:W3CDTF">2022-04-11T01:34:00Z</dcterms:created>
  <dcterms:modified xsi:type="dcterms:W3CDTF">2023-04-06T19:47:00Z</dcterms:modified>
</cp:coreProperties>
</file>